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D5B" w:rsidRPr="008113FD" w:rsidRDefault="001B7682" w:rsidP="00D47D5B">
      <w:pPr>
        <w:pStyle w:val="3GPPHeader"/>
        <w:spacing w:after="60"/>
        <w:rPr>
          <w:sz w:val="32"/>
          <w:szCs w:val="32"/>
          <w:highlight w:val="yellow"/>
          <w:lang w:val="en-US"/>
        </w:rPr>
      </w:pPr>
      <w:r w:rsidRPr="00CE0424">
        <w:t>3GPP TSG-RAN WG</w:t>
      </w:r>
      <w:r>
        <w:t>2</w:t>
      </w:r>
      <w:r w:rsidRPr="00CE0424">
        <w:t xml:space="preserve"> #</w:t>
      </w:r>
      <w:r w:rsidR="005748EE">
        <w:t>92</w:t>
      </w:r>
      <w:r w:rsidR="00D47D5B" w:rsidRPr="008113FD">
        <w:rPr>
          <w:lang w:val="en-US"/>
        </w:rPr>
        <w:tab/>
      </w:r>
      <w:proofErr w:type="spellStart"/>
      <w:r w:rsidR="00D47D5B" w:rsidRPr="008113FD">
        <w:rPr>
          <w:sz w:val="32"/>
          <w:szCs w:val="32"/>
          <w:lang w:val="en-US"/>
        </w:rPr>
        <w:t>Tdoc</w:t>
      </w:r>
      <w:proofErr w:type="spellEnd"/>
      <w:r w:rsidR="00D47D5B" w:rsidRPr="008113FD">
        <w:rPr>
          <w:sz w:val="32"/>
          <w:szCs w:val="32"/>
          <w:lang w:val="en-US"/>
        </w:rPr>
        <w:t xml:space="preserve"> R2-</w:t>
      </w:r>
      <w:r w:rsidR="00752E92">
        <w:rPr>
          <w:sz w:val="32"/>
          <w:szCs w:val="32"/>
          <w:lang w:val="en-US"/>
        </w:rPr>
        <w:t>156771</w:t>
      </w:r>
    </w:p>
    <w:p w:rsidR="001B7682" w:rsidRPr="00CE0424" w:rsidRDefault="003B4456" w:rsidP="001B7682">
      <w:pPr>
        <w:pStyle w:val="3GPPHeader"/>
      </w:pPr>
      <w:r>
        <w:t>Anaheim</w:t>
      </w:r>
      <w:r w:rsidR="001B7682" w:rsidRPr="007730BD">
        <w:t xml:space="preserve">, </w:t>
      </w:r>
      <w:r w:rsidR="006D7BBF">
        <w:t>USA</w:t>
      </w:r>
      <w:r w:rsidR="001B7682" w:rsidRPr="007730BD">
        <w:t xml:space="preserve">, </w:t>
      </w:r>
      <w:r>
        <w:t>16</w:t>
      </w:r>
      <w:r w:rsidR="001B7682" w:rsidRPr="007730BD">
        <w:rPr>
          <w:vertAlign w:val="superscript"/>
        </w:rPr>
        <w:t>th</w:t>
      </w:r>
      <w:r w:rsidR="001B7682" w:rsidRPr="007730BD">
        <w:t xml:space="preserve"> </w:t>
      </w:r>
      <w:r>
        <w:t>- 20</w:t>
      </w:r>
      <w:r w:rsidR="001B7682" w:rsidRPr="007730BD">
        <w:rPr>
          <w:vertAlign w:val="superscript"/>
        </w:rPr>
        <w:t>th</w:t>
      </w:r>
      <w:r w:rsidR="001B7682" w:rsidRPr="007730BD">
        <w:t xml:space="preserve"> </w:t>
      </w:r>
      <w:r>
        <w:t>November</w:t>
      </w:r>
      <w:r w:rsidR="001B7682" w:rsidRPr="007730BD">
        <w:t xml:space="preserve"> 2015</w:t>
      </w:r>
    </w:p>
    <w:p w:rsidR="00E90E49" w:rsidRPr="001B7682" w:rsidRDefault="00E90E49" w:rsidP="00357380">
      <w:pPr>
        <w:pStyle w:val="3GPPHeader"/>
      </w:pPr>
    </w:p>
    <w:p w:rsidR="00E90E49" w:rsidRPr="006A3B29" w:rsidRDefault="00E90E49" w:rsidP="00311702">
      <w:pPr>
        <w:pStyle w:val="3GPPHeader"/>
        <w:rPr>
          <w:sz w:val="22"/>
          <w:szCs w:val="22"/>
          <w:lang w:val="en-US"/>
        </w:rPr>
      </w:pPr>
      <w:r w:rsidRPr="006A3B29">
        <w:rPr>
          <w:sz w:val="22"/>
          <w:szCs w:val="22"/>
          <w:lang w:val="en-US"/>
        </w:rPr>
        <w:t>Agenda Item:</w:t>
      </w:r>
      <w:r w:rsidRPr="006A3B29">
        <w:rPr>
          <w:sz w:val="22"/>
          <w:szCs w:val="22"/>
          <w:lang w:val="en-US"/>
        </w:rPr>
        <w:tab/>
      </w:r>
      <w:r w:rsidR="00FF235E" w:rsidRPr="0010223A">
        <w:rPr>
          <w:sz w:val="22"/>
          <w:szCs w:val="22"/>
          <w:lang w:val="en-US"/>
        </w:rPr>
        <w:t>7.4.</w:t>
      </w:r>
      <w:r w:rsidR="00613CAB" w:rsidRPr="0010223A">
        <w:rPr>
          <w:sz w:val="22"/>
          <w:szCs w:val="22"/>
          <w:lang w:val="en-US"/>
        </w:rPr>
        <w:t>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8A0ED3">
        <w:rPr>
          <w:sz w:val="22"/>
          <w:szCs w:val="22"/>
        </w:rPr>
        <w:t>MIB</w:t>
      </w:r>
      <w:r w:rsidR="00120F06">
        <w:rPr>
          <w:sz w:val="22"/>
          <w:szCs w:val="22"/>
        </w:rPr>
        <w:t xml:space="preserve"> </w:t>
      </w:r>
      <w:r w:rsidR="003D2C28" w:rsidRPr="006A3B29">
        <w:rPr>
          <w:sz w:val="22"/>
          <w:szCs w:val="22"/>
        </w:rPr>
        <w:t>for Rel-13 low complexity and coverage enhanced UEs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1B7F">
        <w:rPr>
          <w:sz w:val="22"/>
          <w:szCs w:val="22"/>
        </w:rPr>
        <w:t>Discussion, Decision</w:t>
      </w:r>
    </w:p>
    <w:p w:rsidR="00E90E49" w:rsidRPr="00CE0424" w:rsidRDefault="00E90E49" w:rsidP="00E90E49"/>
    <w:p w:rsidR="00E90E49" w:rsidRDefault="00E90E49" w:rsidP="00CE0424">
      <w:pPr>
        <w:pStyle w:val="Heading1"/>
      </w:pPr>
      <w:r w:rsidRPr="00CE0424">
        <w:t>Introduction</w:t>
      </w:r>
    </w:p>
    <w:p w:rsidR="00A06FE3" w:rsidRPr="006334A6" w:rsidRDefault="002B041E" w:rsidP="00FE1B3C">
      <w:pPr>
        <w:rPr>
          <w:lang w:val="en-US"/>
        </w:rPr>
      </w:pPr>
      <w:r>
        <w:rPr>
          <w:lang w:val="en-US"/>
        </w:rPr>
        <w:t xml:space="preserve">The Rel-13 work item on “Further LTE Physical Layer Enhancements for MTC” </w:t>
      </w:r>
      <w:r w:rsidR="002E01D6">
        <w:rPr>
          <w:lang w:val="en-US"/>
        </w:rPr>
        <w:fldChar w:fldCharType="begin"/>
      </w:r>
      <w:r w:rsidR="002E01D6">
        <w:rPr>
          <w:lang w:val="en-US"/>
        </w:rPr>
        <w:instrText xml:space="preserve"> REF _Ref410310040 \r \h </w:instrText>
      </w:r>
      <w:r w:rsidR="002E01D6">
        <w:rPr>
          <w:lang w:val="en-US"/>
        </w:rPr>
      </w:r>
      <w:r w:rsidR="002E01D6">
        <w:rPr>
          <w:lang w:val="en-US"/>
        </w:rPr>
        <w:fldChar w:fldCharType="separate"/>
      </w:r>
      <w:r w:rsidR="00892A2F">
        <w:rPr>
          <w:lang w:val="en-US"/>
        </w:rPr>
        <w:t>[1]</w:t>
      </w:r>
      <w:r w:rsidR="002E01D6">
        <w:rPr>
          <w:lang w:val="en-US"/>
        </w:rPr>
        <w:fldChar w:fldCharType="end"/>
      </w:r>
      <w:r w:rsidR="002E01D6">
        <w:rPr>
          <w:lang w:val="en-US"/>
        </w:rPr>
        <w:t xml:space="preserve"> </w:t>
      </w:r>
      <w:r>
        <w:rPr>
          <w:lang w:val="en-US"/>
        </w:rPr>
        <w:t xml:space="preserve">includes three main objectives: </w:t>
      </w:r>
      <w:r>
        <w:rPr>
          <w:kern w:val="2"/>
        </w:rPr>
        <w:t xml:space="preserve">(1) specify a </w:t>
      </w:r>
      <w:r w:rsidRPr="00365452">
        <w:t>new Rel-13 low complexity UE category for MTC operation</w:t>
      </w:r>
      <w:r>
        <w:t>, (2) achieve</w:t>
      </w:r>
      <w:r w:rsidRPr="00365452">
        <w:t xml:space="preserve"> LTE coverage improvement corresponding to 15 dB for FDD</w:t>
      </w:r>
      <w:r>
        <w:t>, and (3) minimize UE power consumption</w:t>
      </w:r>
      <w:r>
        <w:rPr>
          <w:lang w:val="en-US"/>
        </w:rPr>
        <w:t>. For the new low complexity UE, r</w:t>
      </w:r>
      <w:r w:rsidRPr="00272B4E">
        <w:rPr>
          <w:lang w:val="en-US"/>
        </w:rPr>
        <w:t>educed UE bandwidth of 1.4 MHz in downlink and uplink is considered as the most important</w:t>
      </w:r>
      <w:r>
        <w:rPr>
          <w:lang w:val="en-US"/>
        </w:rPr>
        <w:t xml:space="preserve"> complexity reduction technique.</w:t>
      </w:r>
    </w:p>
    <w:p w:rsidR="007A6B1D" w:rsidRDefault="00451FA2" w:rsidP="00FE1B3C">
      <w:pPr>
        <w:pStyle w:val="B1"/>
        <w:spacing w:after="120"/>
        <w:ind w:left="0" w:firstLine="0"/>
        <w:jc w:val="both"/>
      </w:pPr>
      <w:r>
        <w:t xml:space="preserve">In this </w:t>
      </w:r>
      <w:r w:rsidR="00A06FE3">
        <w:t>paper</w:t>
      </w:r>
      <w:r>
        <w:t xml:space="preserve"> we </w:t>
      </w:r>
      <w:r w:rsidR="003322D6">
        <w:t xml:space="preserve">continue to </w:t>
      </w:r>
      <w:r>
        <w:t xml:space="preserve">discuss the </w:t>
      </w:r>
      <w:r w:rsidR="006F5532">
        <w:t>system information</w:t>
      </w:r>
      <w:r>
        <w:t xml:space="preserve"> design for</w:t>
      </w:r>
      <w:r w:rsidR="0099375C">
        <w:t xml:space="preserve"> Rel-13 </w:t>
      </w:r>
      <w:r>
        <w:t>low-complexity</w:t>
      </w:r>
      <w:r w:rsidR="0099375C">
        <w:t xml:space="preserve"> </w:t>
      </w:r>
      <w:r>
        <w:t xml:space="preserve">and </w:t>
      </w:r>
      <w:r w:rsidR="00100619">
        <w:t>coverage enhanced</w:t>
      </w:r>
      <w:r>
        <w:t xml:space="preserve"> UEs</w:t>
      </w:r>
      <w:r w:rsidR="006F5532">
        <w:t xml:space="preserve"> (Rel-13 LC/</w:t>
      </w:r>
      <w:r w:rsidR="00100619">
        <w:t>CE</w:t>
      </w:r>
      <w:r w:rsidR="006F5532">
        <w:t xml:space="preserve"> UEs</w:t>
      </w:r>
      <w:r w:rsidR="006E0558">
        <w:t>)</w:t>
      </w:r>
      <w:r w:rsidR="001163A5">
        <w:t>.</w:t>
      </w:r>
    </w:p>
    <w:p w:rsidR="00394226" w:rsidRDefault="00394226" w:rsidP="006F5532">
      <w:pPr>
        <w:pStyle w:val="B1"/>
        <w:ind w:left="0" w:firstLine="0"/>
        <w:jc w:val="both"/>
      </w:pPr>
    </w:p>
    <w:p w:rsidR="00283910" w:rsidRPr="00283910" w:rsidRDefault="004000E8" w:rsidP="00283910">
      <w:pPr>
        <w:pStyle w:val="Heading1"/>
      </w:pPr>
      <w:bookmarkStart w:id="0" w:name="_Ref178064866"/>
      <w:r w:rsidRPr="00CE0424">
        <w:t>Discussion</w:t>
      </w:r>
      <w:bookmarkEnd w:id="0"/>
    </w:p>
    <w:p w:rsidR="0052769E" w:rsidRDefault="0052769E" w:rsidP="0052769E">
      <w:pPr>
        <w:pStyle w:val="BodyText"/>
      </w:pPr>
      <w:bookmarkStart w:id="1" w:name="_Toc419292278"/>
      <w:bookmarkStart w:id="2" w:name="_Toc419292559"/>
      <w:bookmarkStart w:id="3" w:name="_Toc419292567"/>
      <w:bookmarkStart w:id="4" w:name="_Toc419292627"/>
      <w:bookmarkStart w:id="5" w:name="_Toc419292635"/>
      <w:bookmarkStart w:id="6" w:name="_Toc419292643"/>
      <w:bookmarkStart w:id="7" w:name="_Toc419292651"/>
      <w:bookmarkStart w:id="8" w:name="_Toc419292279"/>
      <w:bookmarkStart w:id="9" w:name="_Toc419292560"/>
      <w:bookmarkStart w:id="10" w:name="_Toc419292568"/>
      <w:bookmarkStart w:id="11" w:name="_Toc419292628"/>
      <w:bookmarkStart w:id="12" w:name="_Toc419292636"/>
      <w:bookmarkStart w:id="13" w:name="_Toc419292644"/>
      <w:bookmarkStart w:id="14" w:name="_Toc419292652"/>
      <w:bookmarkStart w:id="15" w:name="_Toc419292715"/>
      <w:bookmarkStart w:id="16" w:name="_Toc419453218"/>
      <w:bookmarkStart w:id="17" w:name="_Toc419292280"/>
      <w:bookmarkStart w:id="18" w:name="_Toc419292561"/>
      <w:bookmarkStart w:id="19" w:name="_Toc419292569"/>
      <w:bookmarkStart w:id="20" w:name="_Toc419292629"/>
      <w:bookmarkStart w:id="21" w:name="_Toc419292637"/>
      <w:bookmarkStart w:id="22" w:name="_Toc419292645"/>
      <w:bookmarkStart w:id="23" w:name="_Toc419292653"/>
      <w:bookmarkStart w:id="24" w:name="_Toc419292281"/>
      <w:bookmarkStart w:id="25" w:name="_Toc419292562"/>
      <w:bookmarkStart w:id="26" w:name="_Toc419292570"/>
      <w:bookmarkStart w:id="27" w:name="_Toc419292630"/>
      <w:bookmarkStart w:id="28" w:name="_Toc419292638"/>
      <w:bookmarkStart w:id="29" w:name="_Toc419292646"/>
      <w:bookmarkStart w:id="30" w:name="_Toc419292654"/>
      <w:bookmarkStart w:id="31" w:name="_Toc416436856"/>
      <w:bookmarkStart w:id="32" w:name="_Ref4186951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RAN1 has agreed that Rel-13 LC/CE UEs acquire MIB using the legacy PBCH, with the only difference that additional repetitions can be provided to enhance the coverage of PBCH. MIB consists of a limited amount of information that a UE needs to acquire the rest of the system information in order to access the network. Since its size is fixed MIB cannot be extended, however there are 10 spare bits that can be utilized.</w:t>
      </w:r>
    </w:p>
    <w:p w:rsidR="0052769E" w:rsidRDefault="00D75804" w:rsidP="0052769E">
      <w:pPr>
        <w:pStyle w:val="BodyText"/>
      </w:pPr>
      <w:r>
        <w:t>It has been</w:t>
      </w:r>
      <w:r w:rsidR="0052769E">
        <w:t xml:space="preserve"> agreed </w:t>
      </w:r>
      <w:r>
        <w:t>to</w:t>
      </w:r>
      <w:r w:rsidR="008C4258">
        <w:t xml:space="preserve"> “</w:t>
      </w:r>
      <w:r w:rsidR="008C4258" w:rsidRPr="008C4258">
        <w:t>Introduce separate indications in MIB to determine if a cell supports Rel-13 low complexity UE (category) and/or Rel-13 enhanced coverage (EC) functionality</w:t>
      </w:r>
      <w:r w:rsidR="008C4258">
        <w:t>”</w:t>
      </w:r>
      <w:r>
        <w:t xml:space="preserve"> </w:t>
      </w:r>
      <w:r>
        <w:fldChar w:fldCharType="begin"/>
      </w:r>
      <w:r>
        <w:instrText xml:space="preserve"> REF _Ref425236111 \r \h </w:instrText>
      </w:r>
      <w:r>
        <w:fldChar w:fldCharType="separate"/>
      </w:r>
      <w:r w:rsidR="00892A2F">
        <w:t>[7]</w:t>
      </w:r>
      <w:r>
        <w:fldChar w:fldCharType="end"/>
      </w:r>
      <w:r>
        <w:t xml:space="preserve">. Furthermore, in both </w:t>
      </w:r>
      <w:r>
        <w:fldChar w:fldCharType="begin"/>
      </w:r>
      <w:r>
        <w:instrText xml:space="preserve"> REF _Ref425236122 \r \h </w:instrText>
      </w:r>
      <w:r>
        <w:fldChar w:fldCharType="separate"/>
      </w:r>
      <w:r w:rsidR="00892A2F">
        <w:t>[8]</w:t>
      </w:r>
      <w:r>
        <w:fldChar w:fldCharType="end"/>
      </w:r>
      <w:r>
        <w:t xml:space="preserve"> and </w:t>
      </w:r>
      <w:r>
        <w:fldChar w:fldCharType="begin"/>
      </w:r>
      <w:r>
        <w:instrText xml:space="preserve"> REF _Ref425236441 \r \h </w:instrText>
      </w:r>
      <w:r>
        <w:fldChar w:fldCharType="separate"/>
      </w:r>
      <w:r w:rsidR="00892A2F">
        <w:t>[11]</w:t>
      </w:r>
      <w:r>
        <w:fldChar w:fldCharType="end"/>
      </w:r>
      <w:r w:rsidR="0052769E">
        <w:t xml:space="preserve"> it was agreed that the TBS of SIB1bis is indicated in MIB. Currently no other scheduling information has been agreed to be included in the MIB. </w:t>
      </w:r>
    </w:p>
    <w:p w:rsidR="0052769E" w:rsidRPr="00847178" w:rsidRDefault="0052769E" w:rsidP="008A0ED3">
      <w:pPr>
        <w:pStyle w:val="Heading2"/>
      </w:pPr>
      <w:r w:rsidRPr="00847178">
        <w:t xml:space="preserve">Low complexity support </w:t>
      </w:r>
      <w:r w:rsidR="00927470">
        <w:t xml:space="preserve">enabled </w:t>
      </w:r>
      <w:r w:rsidRPr="00847178">
        <w:t>indication</w:t>
      </w:r>
    </w:p>
    <w:p w:rsidR="00C94CBE" w:rsidRDefault="00C94CBE" w:rsidP="00C94CBE">
      <w:pPr>
        <w:pStyle w:val="BodyText"/>
        <w:spacing w:before="120" w:after="240"/>
      </w:pPr>
      <w:r>
        <w:t xml:space="preserve">It has been agreed that it should be indicated in the MIB whether the cell has enabled support for Rel-13 low complexity UEs </w:t>
      </w:r>
      <w:r>
        <w:fldChar w:fldCharType="begin"/>
      </w:r>
      <w:r>
        <w:instrText xml:space="preserve"> REF _Ref418759873 \r \h </w:instrText>
      </w:r>
      <w:r>
        <w:fldChar w:fldCharType="separate"/>
      </w:r>
      <w:r>
        <w:t>[4]</w:t>
      </w:r>
      <w:r>
        <w:fldChar w:fldCharType="end"/>
      </w:r>
      <w:r>
        <w:fldChar w:fldCharType="begin"/>
      </w:r>
      <w:r>
        <w:instrText xml:space="preserve"> REF _Ref430697738 \r \h </w:instrText>
      </w:r>
      <w:r>
        <w:fldChar w:fldCharType="end"/>
      </w:r>
      <w:r>
        <w:t xml:space="preserve">. A Rel-13 low complexity UE knows that it may access the cell with such indication. Assuming that the Rel-13 LC/CE extension consumes </w:t>
      </w:r>
      <w:r w:rsidRPr="000915DD">
        <w:rPr>
          <w:i/>
        </w:rPr>
        <w:t>k</w:t>
      </w:r>
      <w:r>
        <w:rPr>
          <w:i/>
        </w:rPr>
        <w:t xml:space="preserve"> </w:t>
      </w:r>
      <w:r>
        <w:t xml:space="preserve">of the spare bits in MIB there is only </w:t>
      </w:r>
      <w:r w:rsidRPr="00B53526">
        <w:rPr>
          <w:i/>
        </w:rPr>
        <w:t>10-k</w:t>
      </w:r>
      <w:r>
        <w:t xml:space="preserve"> bits left for future extensions. To allow cells that do not support the Rel-13 LC/CE feature to make use of the </w:t>
      </w:r>
      <w:r w:rsidRPr="00B53526">
        <w:rPr>
          <w:i/>
        </w:rPr>
        <w:t>k</w:t>
      </w:r>
      <w:r>
        <w:t xml:space="preserve"> bits utilized by the Rel-13 LC/CE extension, some form of branching can be considered. A simple approach is to use the first of the </w:t>
      </w:r>
      <w:r w:rsidRPr="0060081E">
        <w:rPr>
          <w:i/>
        </w:rPr>
        <w:t>k</w:t>
      </w:r>
      <w:r>
        <w:t xml:space="preserve"> bits (i.e. the “LC UE support” field) as a branching indicator. If the first bit is set to one, the </w:t>
      </w:r>
      <w:r w:rsidRPr="0060081E">
        <w:rPr>
          <w:i/>
        </w:rPr>
        <w:t>k-1</w:t>
      </w:r>
      <w:r>
        <w:t xml:space="preserve"> bits that follow contains Rel-13 LC/CE parameters, otherwise the UE checks for the next extension type by reading the next spare bit. If this bit is set to one, the next </w:t>
      </w:r>
      <w:r w:rsidRPr="0060081E">
        <w:rPr>
          <w:i/>
        </w:rPr>
        <w:t>k-2</w:t>
      </w:r>
      <w:r>
        <w:t xml:space="preserve"> bits contain the extension parameters, and so on</w:t>
      </w:r>
      <w:r>
        <w:rPr>
          <w:rStyle w:val="FootnoteReference"/>
        </w:rPr>
        <w:footnoteReference w:id="1"/>
      </w:r>
      <w:r>
        <w:t xml:space="preserve">. Note that the remaining </w:t>
      </w:r>
      <w:r w:rsidRPr="0060081E">
        <w:rPr>
          <w:i/>
        </w:rPr>
        <w:t>10-k</w:t>
      </w:r>
      <w:r>
        <w:t xml:space="preserve"> spare bits in MIB are independent and are not affected by the branching structure imposed on the first </w:t>
      </w:r>
      <w:r w:rsidRPr="0060081E">
        <w:rPr>
          <w:i/>
        </w:rPr>
        <w:t>k</w:t>
      </w:r>
      <w:r>
        <w:t xml:space="preserve"> bits.</w:t>
      </w:r>
    </w:p>
    <w:p w:rsidR="00C94CBE" w:rsidRDefault="00C94CBE" w:rsidP="00C94CBE">
      <w:pPr>
        <w:pStyle w:val="BodyText"/>
        <w:spacing w:after="0"/>
      </w:pPr>
    </w:p>
    <w:p w:rsidR="00C94CBE" w:rsidRDefault="00C94CBE" w:rsidP="00C94CBE">
      <w:pPr>
        <w:pStyle w:val="Proposal"/>
        <w:tabs>
          <w:tab w:val="clear" w:pos="8250"/>
        </w:tabs>
        <w:ind w:left="1701" w:hanging="1701"/>
      </w:pPr>
      <w:bookmarkStart w:id="33" w:name="_Toc434620377"/>
      <w:r>
        <w:lastRenderedPageBreak/>
        <w:t xml:space="preserve">To allow cells that do not support the Rel-13 LC/CE feature to make use of the </w:t>
      </w:r>
      <w:r w:rsidRPr="0060081E">
        <w:rPr>
          <w:i/>
        </w:rPr>
        <w:t>k</w:t>
      </w:r>
      <w:r>
        <w:t xml:space="preserve"> spare bits utilized by the Rel-13 LC/CE extension, the first of the </w:t>
      </w:r>
      <w:r w:rsidRPr="0060081E">
        <w:rPr>
          <w:i/>
        </w:rPr>
        <w:t>k</w:t>
      </w:r>
      <w:r>
        <w:t xml:space="preserve"> bits (i.e. the “LC UE support” field) acts as branching indicator.</w:t>
      </w:r>
      <w:bookmarkEnd w:id="33"/>
    </w:p>
    <w:p w:rsidR="00535C98" w:rsidRDefault="00535C98" w:rsidP="0052769E">
      <w:pPr>
        <w:pStyle w:val="BodyText"/>
      </w:pPr>
    </w:p>
    <w:p w:rsidR="00927470" w:rsidRPr="00847178" w:rsidRDefault="00927470" w:rsidP="008A0ED3">
      <w:pPr>
        <w:pStyle w:val="Heading2"/>
      </w:pPr>
      <w:r w:rsidRPr="00847178">
        <w:t>Coverage enhancement indication</w:t>
      </w:r>
    </w:p>
    <w:p w:rsidR="00927470" w:rsidRDefault="008C4258" w:rsidP="00E64B5A">
      <w:pPr>
        <w:pStyle w:val="BodyText"/>
        <w:spacing w:before="120"/>
      </w:pPr>
      <w:r>
        <w:t>The</w:t>
      </w:r>
      <w:r w:rsidR="00927470">
        <w:t xml:space="preserve"> main purpose of CE-level support</w:t>
      </w:r>
      <w:r w:rsidR="00D16A5A">
        <w:t xml:space="preserve"> enabled</w:t>
      </w:r>
      <w:r w:rsidR="00927470">
        <w:t xml:space="preserve"> indicator would be to give an early indication to the </w:t>
      </w:r>
      <w:r w:rsidR="008E347F">
        <w:t xml:space="preserve">Rel-13 CE </w:t>
      </w:r>
      <w:r w:rsidR="00927470">
        <w:t xml:space="preserve">UE </w:t>
      </w:r>
      <w:r w:rsidR="00D16A5A">
        <w:t xml:space="preserve">such that it can conserve battery and/or save time by not even considering the cell for cell (re)selection. That is, if a 1 bit indication is </w:t>
      </w:r>
      <w:r w:rsidR="00C94CBE">
        <w:t>provided</w:t>
      </w:r>
      <w:r w:rsidR="00D16A5A">
        <w:t xml:space="preserve">, the UE could see </w:t>
      </w:r>
      <w:r w:rsidR="00C94CBE">
        <w:t xml:space="preserve">whether </w:t>
      </w:r>
      <w:r w:rsidR="00D16A5A">
        <w:t xml:space="preserve">the cell has CE support enabled. </w:t>
      </w:r>
      <w:r w:rsidR="00F5334C">
        <w:t xml:space="preserve">However the UE would still need to acquire SIB1bis to find out which CE level it is in and whether it is supported in the cell. </w:t>
      </w:r>
      <w:r w:rsidR="00D16A5A">
        <w:t xml:space="preserve">If multiple bits are used, </w:t>
      </w:r>
      <w:r w:rsidR="00927470">
        <w:t xml:space="preserve">the maximum supported CE-level </w:t>
      </w:r>
      <w:r w:rsidR="00D16A5A">
        <w:t>c</w:t>
      </w:r>
      <w:r w:rsidR="00F5334C">
        <w:t xml:space="preserve">an also </w:t>
      </w:r>
      <w:r w:rsidR="00D16A5A">
        <w:t>be indicated</w:t>
      </w:r>
      <w:r w:rsidR="00E64B5A">
        <w:t xml:space="preserve">. Since the maximum CE-level indicated in MIB would be restricted to </w:t>
      </w:r>
      <w:r w:rsidR="003F6501">
        <w:t xml:space="preserve">e.g. </w:t>
      </w:r>
      <w:r w:rsidR="00E64B5A">
        <w:t>4 predetermined values (</w:t>
      </w:r>
      <w:r w:rsidR="00F5334C">
        <w:t xml:space="preserve">in that case </w:t>
      </w:r>
      <w:r w:rsidR="00E64B5A">
        <w:t xml:space="preserve">using 2 bits in MIB) it would not be possible to </w:t>
      </w:r>
      <w:r w:rsidR="00F5334C">
        <w:t xml:space="preserve">provide </w:t>
      </w:r>
      <w:r w:rsidR="00E64B5A">
        <w:t>the actual CE-level</w:t>
      </w:r>
      <w:r w:rsidR="00F5334C">
        <w:t>, i.e. a threshold based on the RSRP measurement,</w:t>
      </w:r>
      <w:r w:rsidR="00E64B5A">
        <w:t xml:space="preserve"> configured in the cell. Due to these shortcomings </w:t>
      </w:r>
      <w:r w:rsidR="00F5334C">
        <w:t xml:space="preserve">we think </w:t>
      </w:r>
      <w:r w:rsidR="00E64B5A">
        <w:t>it is not worth using scarce MIB bits</w:t>
      </w:r>
      <w:r w:rsidR="00927470">
        <w:t xml:space="preserve">. </w:t>
      </w:r>
    </w:p>
    <w:p w:rsidR="00927470" w:rsidRDefault="00927470" w:rsidP="00927470">
      <w:pPr>
        <w:pStyle w:val="BodyText"/>
        <w:spacing w:after="0"/>
      </w:pPr>
    </w:p>
    <w:p w:rsidR="0006613D" w:rsidRDefault="00535C98" w:rsidP="00ED4DD1">
      <w:pPr>
        <w:pStyle w:val="Proposal"/>
        <w:tabs>
          <w:tab w:val="clear" w:pos="8250"/>
        </w:tabs>
        <w:ind w:left="1701" w:hanging="1701"/>
      </w:pPr>
      <w:bookmarkStart w:id="34" w:name="_Toc430968454"/>
      <w:bookmarkStart w:id="35" w:name="_Toc434611698"/>
      <w:bookmarkStart w:id="36" w:name="_Toc434611820"/>
      <w:bookmarkStart w:id="37" w:name="_Toc434611954"/>
      <w:bookmarkStart w:id="38" w:name="_Toc434611962"/>
      <w:bookmarkStart w:id="39" w:name="_Toc434620378"/>
      <w:r>
        <w:t xml:space="preserve">Support for coverage enhancement is indicated </w:t>
      </w:r>
      <w:r w:rsidR="00DA6CAC">
        <w:t xml:space="preserve">implicitly </w:t>
      </w:r>
      <w:r>
        <w:t>in SIB1bis</w:t>
      </w:r>
      <w:bookmarkEnd w:id="34"/>
      <w:bookmarkEnd w:id="35"/>
      <w:bookmarkEnd w:id="36"/>
      <w:bookmarkEnd w:id="37"/>
      <w:bookmarkEnd w:id="38"/>
      <w:bookmarkEnd w:id="39"/>
    </w:p>
    <w:p w:rsidR="001A5E0E" w:rsidRPr="001A5E0E" w:rsidRDefault="001A5E0E" w:rsidP="0052769E">
      <w:pPr>
        <w:pStyle w:val="BodyText"/>
        <w:spacing w:before="120"/>
        <w:rPr>
          <w:lang w:val="en-US"/>
        </w:rPr>
      </w:pPr>
    </w:p>
    <w:p w:rsidR="001A5E0E" w:rsidRPr="00847178" w:rsidRDefault="001A5E0E" w:rsidP="008A0ED3">
      <w:pPr>
        <w:pStyle w:val="Heading2"/>
      </w:pPr>
      <w:r w:rsidRPr="00847178">
        <w:t>SIB1bis scheduling</w:t>
      </w:r>
      <w:r w:rsidR="00112B49">
        <w:t xml:space="preserve"> parameters</w:t>
      </w:r>
    </w:p>
    <w:p w:rsidR="00944E32" w:rsidRPr="009206B5" w:rsidRDefault="00944E32" w:rsidP="00944E32">
      <w:pPr>
        <w:spacing w:after="0"/>
      </w:pPr>
      <w:r>
        <w:t>Legacy SIB1 uses fixed scheduling in the time domain but the frequency location and MCS/TBS is dynamically indicated via PDCCH. Since it has been agreed that M-PDCCH-less scheduling will be used for SIB1bis, scheduling parameters which cannot be fixed or pre-defined in the standard need to be provided in the MIB.</w:t>
      </w:r>
    </w:p>
    <w:p w:rsidR="00944E32" w:rsidRPr="00CB0772" w:rsidRDefault="00337F4A" w:rsidP="00944E32">
      <w:pPr>
        <w:spacing w:before="240"/>
        <w:rPr>
          <w:b/>
          <w:i/>
        </w:rPr>
      </w:pPr>
      <w:r>
        <w:rPr>
          <w:b/>
          <w:i/>
        </w:rPr>
        <w:t>SIB1bis</w:t>
      </w:r>
      <w:r w:rsidR="00944E32" w:rsidRPr="00CB0772">
        <w:rPr>
          <w:b/>
          <w:i/>
        </w:rPr>
        <w:t xml:space="preserve"> periodicity</w:t>
      </w:r>
    </w:p>
    <w:p w:rsidR="001E1617" w:rsidRDefault="00884F04" w:rsidP="001E1617">
      <w:pPr>
        <w:rPr>
          <w:lang w:val="en-US"/>
        </w:rPr>
      </w:pPr>
      <w:r>
        <w:t xml:space="preserve">In </w:t>
      </w:r>
      <w:r>
        <w:fldChar w:fldCharType="begin"/>
      </w:r>
      <w:r>
        <w:instrText xml:space="preserve"> REF _Ref433799538 \r \h </w:instrText>
      </w:r>
      <w:r>
        <w:fldChar w:fldCharType="separate"/>
      </w:r>
      <w:r w:rsidR="00892A2F">
        <w:t>[12]</w:t>
      </w:r>
      <w:r>
        <w:fldChar w:fldCharType="end"/>
      </w:r>
      <w:r w:rsidR="001E1617">
        <w:t xml:space="preserve"> it has been agreed that:</w:t>
      </w:r>
    </w:p>
    <w:p w:rsidR="001E1617" w:rsidRPr="00237C58" w:rsidRDefault="001E1617" w:rsidP="00C26962">
      <w:pPr>
        <w:numPr>
          <w:ilvl w:val="1"/>
          <w:numId w:val="13"/>
        </w:numPr>
        <w:rPr>
          <w:rStyle w:val="Emphasis"/>
          <w:lang w:val="en-US"/>
        </w:rPr>
      </w:pPr>
      <w:r w:rsidRPr="00237C58">
        <w:rPr>
          <w:rStyle w:val="Emphasis"/>
          <w:lang w:val="en-US"/>
        </w:rPr>
        <w:t>SIB1bis is transmitted periodically with a period of TSIB1bis radio frames</w:t>
      </w:r>
    </w:p>
    <w:p w:rsidR="001E1617" w:rsidRPr="00237C58" w:rsidRDefault="001E1617" w:rsidP="00C26962">
      <w:pPr>
        <w:numPr>
          <w:ilvl w:val="2"/>
          <w:numId w:val="13"/>
        </w:numPr>
        <w:rPr>
          <w:rStyle w:val="Emphasis"/>
          <w:lang w:val="en-US"/>
        </w:rPr>
      </w:pPr>
      <w:r w:rsidRPr="00237C58">
        <w:rPr>
          <w:rStyle w:val="Emphasis"/>
          <w:lang w:val="en-US"/>
        </w:rPr>
        <w:t>Within a period, SIB1bis can be repeated a number of times</w:t>
      </w:r>
    </w:p>
    <w:p w:rsidR="001E1617" w:rsidRPr="00237C58" w:rsidRDefault="001E1617" w:rsidP="00C26962">
      <w:pPr>
        <w:numPr>
          <w:ilvl w:val="2"/>
          <w:numId w:val="13"/>
        </w:numPr>
        <w:rPr>
          <w:rStyle w:val="Emphasis"/>
          <w:lang w:val="en-US"/>
        </w:rPr>
      </w:pPr>
      <w:r w:rsidRPr="00237C58">
        <w:rPr>
          <w:rStyle w:val="Emphasis"/>
          <w:lang w:val="en-US"/>
        </w:rPr>
        <w:t>RV cycling {0,2,3,1,…} is used for each SIB1bis transmission within a period</w:t>
      </w:r>
    </w:p>
    <w:p w:rsidR="001E1617" w:rsidRPr="00237C58" w:rsidRDefault="001E1617" w:rsidP="00C26962">
      <w:pPr>
        <w:numPr>
          <w:ilvl w:val="1"/>
          <w:numId w:val="13"/>
        </w:numPr>
        <w:rPr>
          <w:rStyle w:val="Emphasis"/>
          <w:lang w:val="en-US"/>
        </w:rPr>
      </w:pPr>
      <w:r w:rsidRPr="00237C58">
        <w:rPr>
          <w:rStyle w:val="Emphasis"/>
          <w:lang w:val="en-US"/>
        </w:rPr>
        <w:t>SIB1bis transmission period TSIB1bis is predefined</w:t>
      </w:r>
    </w:p>
    <w:p w:rsidR="001E1617" w:rsidRPr="00237C58" w:rsidRDefault="001E1617" w:rsidP="00C26962">
      <w:pPr>
        <w:numPr>
          <w:ilvl w:val="2"/>
          <w:numId w:val="13"/>
        </w:numPr>
        <w:rPr>
          <w:rStyle w:val="Emphasis"/>
          <w:lang w:val="en-US"/>
        </w:rPr>
      </w:pPr>
      <w:r w:rsidRPr="00237C58">
        <w:rPr>
          <w:rStyle w:val="Emphasis"/>
          <w:lang w:val="en-US"/>
        </w:rPr>
        <w:t>TSIB1bis = 8 radio frames</w:t>
      </w:r>
    </w:p>
    <w:p w:rsidR="001E1617" w:rsidRPr="00237C58" w:rsidRDefault="001E1617" w:rsidP="00C26962">
      <w:pPr>
        <w:numPr>
          <w:ilvl w:val="1"/>
          <w:numId w:val="13"/>
        </w:numPr>
        <w:rPr>
          <w:rStyle w:val="Emphasis"/>
          <w:lang w:val="en-US"/>
        </w:rPr>
      </w:pPr>
      <w:r w:rsidRPr="00237C58">
        <w:rPr>
          <w:rStyle w:val="Emphasis"/>
          <w:lang w:val="en-US"/>
        </w:rPr>
        <w:t>Working assumption: Repetition number RSIB1bis within a period is derived from MIB</w:t>
      </w:r>
    </w:p>
    <w:p w:rsidR="001E1617" w:rsidRDefault="00400420" w:rsidP="001E1617">
      <w:pPr>
        <w:rPr>
          <w:lang w:val="en-US"/>
        </w:rPr>
      </w:pPr>
      <w:r>
        <w:rPr>
          <w:lang w:val="en-US"/>
        </w:rPr>
        <w:t>Since the requir</w:t>
      </w:r>
      <w:r w:rsidR="003F6501">
        <w:rPr>
          <w:lang w:val="en-US"/>
        </w:rPr>
        <w:t>ed number of repetitions for SIB</w:t>
      </w:r>
      <w:r>
        <w:rPr>
          <w:lang w:val="en-US"/>
        </w:rPr>
        <w:t xml:space="preserve">1bis is </w:t>
      </w:r>
      <w:r w:rsidR="003D7F58">
        <w:rPr>
          <w:lang w:val="en-US"/>
        </w:rPr>
        <w:t>at around</w:t>
      </w:r>
      <w:r>
        <w:rPr>
          <w:lang w:val="en-US"/>
        </w:rPr>
        <w:t xml:space="preserve"> 120 </w:t>
      </w:r>
      <w:r w:rsidR="003D7F58">
        <w:rPr>
          <w:lang w:val="en-US"/>
        </w:rPr>
        <w:t>(</w:t>
      </w:r>
      <w:r>
        <w:rPr>
          <w:lang w:val="en-US"/>
        </w:rPr>
        <w:t>for a 15 dB coverage enhancement</w:t>
      </w:r>
      <w:r w:rsidR="003D7F58">
        <w:rPr>
          <w:lang w:val="en-US"/>
        </w:rPr>
        <w:t xml:space="preserve"> and a 150 bit size) </w:t>
      </w:r>
      <w:r w:rsidR="003D7F58">
        <w:rPr>
          <w:lang w:val="en-US"/>
        </w:rPr>
        <w:fldChar w:fldCharType="begin"/>
      </w:r>
      <w:r w:rsidR="003D7F58">
        <w:rPr>
          <w:lang w:val="en-US"/>
        </w:rPr>
        <w:instrText xml:space="preserve"> REF _Ref430100336 \r \h </w:instrText>
      </w:r>
      <w:r w:rsidR="003D7F58">
        <w:rPr>
          <w:lang w:val="en-US"/>
        </w:rPr>
      </w:r>
      <w:r w:rsidR="003D7F58">
        <w:rPr>
          <w:lang w:val="en-US"/>
        </w:rPr>
        <w:fldChar w:fldCharType="separate"/>
      </w:r>
      <w:r w:rsidR="00892A2F">
        <w:rPr>
          <w:lang w:val="en-US"/>
        </w:rPr>
        <w:t>[13]</w:t>
      </w:r>
      <w:r w:rsidR="003D7F58">
        <w:rPr>
          <w:lang w:val="en-US"/>
        </w:rPr>
        <w:fldChar w:fldCharType="end"/>
      </w:r>
      <w:r w:rsidR="00287321">
        <w:rPr>
          <w:lang w:val="en-US"/>
        </w:rPr>
        <w:t>, it will n</w:t>
      </w:r>
      <w:r w:rsidR="003D7F58">
        <w:rPr>
          <w:lang w:val="en-US"/>
        </w:rPr>
        <w:t xml:space="preserve">either be practically possible </w:t>
      </w:r>
      <w:r w:rsidR="00287321">
        <w:rPr>
          <w:lang w:val="en-US"/>
        </w:rPr>
        <w:t>n</w:t>
      </w:r>
      <w:r w:rsidR="003D7F58">
        <w:rPr>
          <w:lang w:val="en-US"/>
        </w:rPr>
        <w:t xml:space="preserve">or desirable to fit </w:t>
      </w:r>
      <w:r w:rsidR="00287321">
        <w:rPr>
          <w:lang w:val="en-US"/>
        </w:rPr>
        <w:t>those 120 repetitions within one single</w:t>
      </w:r>
      <w:r w:rsidR="003D7F58">
        <w:rPr>
          <w:lang w:val="en-US"/>
        </w:rPr>
        <w:t xml:space="preserve"> </w:t>
      </w:r>
      <w:r w:rsidR="00287321">
        <w:rPr>
          <w:lang w:val="en-US"/>
        </w:rPr>
        <w:t xml:space="preserve">80 </w:t>
      </w:r>
      <w:proofErr w:type="spellStart"/>
      <w:r w:rsidR="00287321">
        <w:rPr>
          <w:lang w:val="en-US"/>
        </w:rPr>
        <w:t>ms</w:t>
      </w:r>
      <w:proofErr w:type="spellEnd"/>
      <w:r w:rsidR="00287321">
        <w:rPr>
          <w:lang w:val="en-US"/>
        </w:rPr>
        <w:t xml:space="preserve"> SIB1bis transmission period</w:t>
      </w:r>
      <w:r w:rsidR="003D7F58">
        <w:rPr>
          <w:lang w:val="en-US"/>
        </w:rPr>
        <w:t>. Therefore we observe the following:</w:t>
      </w:r>
    </w:p>
    <w:p w:rsidR="00204458" w:rsidRDefault="00204458" w:rsidP="001E1617">
      <w:pPr>
        <w:rPr>
          <w:lang w:val="en-US"/>
        </w:rPr>
      </w:pPr>
    </w:p>
    <w:p w:rsidR="003D7F58" w:rsidRDefault="003D7F58" w:rsidP="003D7F58">
      <w:pPr>
        <w:pStyle w:val="Observation"/>
        <w:ind w:left="1710" w:hanging="1710"/>
      </w:pPr>
      <w:bookmarkStart w:id="40" w:name="_Toc434620453"/>
      <w:bookmarkStart w:id="41" w:name="_Toc434620594"/>
      <w:r>
        <w:t>Coverage enhancement for SIB1bis is achieved by combining repetitions across multi</w:t>
      </w:r>
      <w:r w:rsidR="00F5334C">
        <w:t>ple 80 ms transmission periods.</w:t>
      </w:r>
      <w:bookmarkEnd w:id="40"/>
      <w:bookmarkEnd w:id="41"/>
    </w:p>
    <w:p w:rsidR="00F5334C" w:rsidRDefault="00F5334C" w:rsidP="00F5334C">
      <w:pPr>
        <w:pStyle w:val="Observation"/>
        <w:numPr>
          <w:ilvl w:val="0"/>
          <w:numId w:val="0"/>
        </w:numPr>
        <w:ind w:left="1710"/>
      </w:pPr>
    </w:p>
    <w:p w:rsidR="004F5A8E" w:rsidRDefault="004F5A8E" w:rsidP="003D7F58">
      <w:pPr>
        <w:pStyle w:val="Observation"/>
        <w:ind w:left="1710" w:hanging="1710"/>
      </w:pPr>
      <w:bookmarkStart w:id="42" w:name="_Toc434620454"/>
      <w:bookmarkStart w:id="43" w:name="_Toc434620595"/>
      <w:r>
        <w:t xml:space="preserve">The SIB1bis </w:t>
      </w:r>
      <w:r w:rsidR="000D7FE4">
        <w:t>transmission period</w:t>
      </w:r>
      <w:r>
        <w:t xml:space="preserve"> does not have to be indicated in MIB.</w:t>
      </w:r>
      <w:bookmarkEnd w:id="42"/>
      <w:bookmarkEnd w:id="43"/>
    </w:p>
    <w:p w:rsidR="001E1617" w:rsidRPr="002E1109" w:rsidRDefault="001E1617" w:rsidP="00C11F05"/>
    <w:p w:rsidR="001872D9" w:rsidRPr="001872D9" w:rsidRDefault="001872D9" w:rsidP="001872D9">
      <w:pPr>
        <w:spacing w:before="240"/>
        <w:rPr>
          <w:b/>
          <w:i/>
        </w:rPr>
      </w:pPr>
      <w:r>
        <w:rPr>
          <w:b/>
          <w:i/>
        </w:rPr>
        <w:t>SIB1bis transmission subframe</w:t>
      </w:r>
    </w:p>
    <w:p w:rsidR="00C51CC3" w:rsidRDefault="00C51CC3" w:rsidP="00C51CC3">
      <w:pPr>
        <w:pStyle w:val="B1"/>
        <w:ind w:left="0" w:firstLine="0"/>
        <w:jc w:val="both"/>
      </w:pPr>
      <w:r>
        <w:t>SIB1bis can only be transmitted in subframes which are not configurable as MBSFN subframes, i.e. s</w:t>
      </w:r>
      <w:r w:rsidRPr="001E7E1F">
        <w:t xml:space="preserve">ubframes {0, 4, 5, </w:t>
      </w:r>
      <w:proofErr w:type="gramStart"/>
      <w:r w:rsidRPr="001E7E1F">
        <w:t>9</w:t>
      </w:r>
      <w:proofErr w:type="gramEnd"/>
      <w:r w:rsidRPr="001E7E1F">
        <w:t>} for FDD</w:t>
      </w:r>
      <w:r>
        <w:t xml:space="preserve"> and </w:t>
      </w:r>
      <w:r w:rsidRPr="001E7E1F">
        <w:t>{0, 1, 5, 6}</w:t>
      </w:r>
      <w:r>
        <w:t xml:space="preserve"> for TDD. </w:t>
      </w:r>
      <w:r w:rsidR="0006155B">
        <w:t>T</w:t>
      </w:r>
      <w:r w:rsidR="000257EB">
        <w:t>he exact</w:t>
      </w:r>
      <w:r>
        <w:t xml:space="preserve"> subframe(s) to use for SIB1bis is up to RAN1</w:t>
      </w:r>
      <w:r w:rsidR="0006155B">
        <w:t>.</w:t>
      </w:r>
      <w:r>
        <w:t xml:space="preserve"> </w:t>
      </w:r>
      <w:r w:rsidR="0006155B">
        <w:t>S</w:t>
      </w:r>
      <w:r w:rsidR="00B17ED3">
        <w:t xml:space="preserve">ince SIB1bis must be </w:t>
      </w:r>
      <w:r>
        <w:t>accumulate</w:t>
      </w:r>
      <w:r w:rsidR="00B17ED3">
        <w:t>d</w:t>
      </w:r>
      <w:r>
        <w:t xml:space="preserve"> </w:t>
      </w:r>
      <w:r w:rsidR="00B17ED3">
        <w:t xml:space="preserve">over several 80 ms periods for higher CE levels (see above), </w:t>
      </w:r>
      <w:r w:rsidR="0006155B">
        <w:t>the maximum CE-level that can be supported is independent of how many subframes are used for SIB1bis repetitions in the 80 ms period.</w:t>
      </w:r>
      <w:r>
        <w:t xml:space="preserve"> Therefore the only remaining RAN2 issue</w:t>
      </w:r>
      <w:r w:rsidR="00A06842">
        <w:t>s</w:t>
      </w:r>
      <w:r>
        <w:t xml:space="preserve"> are the SIB1bis system overhead and any acquisition time restrictions</w:t>
      </w:r>
      <w:r w:rsidR="00A06842">
        <w:t xml:space="preserve">. </w:t>
      </w:r>
      <w:r w:rsidR="0006155B">
        <w:fldChar w:fldCharType="begin"/>
      </w:r>
      <w:r w:rsidR="0006155B">
        <w:instrText xml:space="preserve"> REF _Ref433305092 \h </w:instrText>
      </w:r>
      <w:r w:rsidR="0006155B">
        <w:fldChar w:fldCharType="separate"/>
      </w:r>
      <w:r w:rsidR="00892A2F">
        <w:t xml:space="preserve">Table </w:t>
      </w:r>
      <w:r w:rsidR="00892A2F">
        <w:rPr>
          <w:noProof/>
        </w:rPr>
        <w:t>2</w:t>
      </w:r>
      <w:r w:rsidR="0006155B">
        <w:fldChar w:fldCharType="end"/>
      </w:r>
      <w:r w:rsidR="0006155B">
        <w:t xml:space="preserve"> </w:t>
      </w:r>
      <w:r>
        <w:t xml:space="preserve">in the Appendix </w:t>
      </w:r>
      <w:r w:rsidR="00A06842">
        <w:t xml:space="preserve">shows </w:t>
      </w:r>
      <w:r>
        <w:t xml:space="preserve">the system overhead and acquisition </w:t>
      </w:r>
      <w:r>
        <w:lastRenderedPageBreak/>
        <w:t xml:space="preserve">time for different </w:t>
      </w:r>
      <w:r w:rsidR="0006155B">
        <w:t>number of</w:t>
      </w:r>
      <w:r>
        <w:t xml:space="preserve"> </w:t>
      </w:r>
      <w:r w:rsidR="0006155B">
        <w:t xml:space="preserve">subframes for </w:t>
      </w:r>
      <w:r>
        <w:t>SIB1bis</w:t>
      </w:r>
      <w:r w:rsidR="0006155B">
        <w:t xml:space="preserve"> repetitions within the 80 ms period</w:t>
      </w:r>
      <w:r>
        <w:t>. Given that</w:t>
      </w:r>
      <w:r w:rsidR="00A06842">
        <w:t xml:space="preserve"> a 2400 ms acquisition time is i</w:t>
      </w:r>
      <w:r>
        <w:t>n the same order as other transmissions at the highest CE-level, and that the system overhead is 0.47%</w:t>
      </w:r>
      <w:r>
        <w:rPr>
          <w:rStyle w:val="FootnoteReference"/>
        </w:rPr>
        <w:footnoteReference w:id="2"/>
      </w:r>
      <w:r>
        <w:t>, we propose to broadcast SIB1bis transmissions every 20 ms as in legacy.</w:t>
      </w:r>
      <w:r w:rsidR="006B7ACD">
        <w:t xml:space="preserve"> Further since at the time of decoding SIB1bis it is not known to the UE whether the cell is</w:t>
      </w:r>
      <w:r w:rsidR="00A871B3">
        <w:t xml:space="preserve"> configured for FDD or TDD</w:t>
      </w:r>
      <w:r w:rsidR="006B7ACD">
        <w:t>, subframes #0 and #5 are good choices since they are available in both configurations. Subframe</w:t>
      </w:r>
      <w:r w:rsidR="00A871B3">
        <w:t xml:space="preserve"> #0</w:t>
      </w:r>
      <w:r w:rsidR="006B7ACD">
        <w:t xml:space="preserve"> is however used for PBCH transmission so therefore we propose the following:</w:t>
      </w:r>
    </w:p>
    <w:p w:rsidR="00C51CC3" w:rsidRDefault="00C51CC3" w:rsidP="00C51CC3">
      <w:pPr>
        <w:spacing w:after="0"/>
      </w:pPr>
    </w:p>
    <w:p w:rsidR="00C51CC3" w:rsidRDefault="006B7ACD" w:rsidP="00C51CC3">
      <w:pPr>
        <w:pStyle w:val="Proposal"/>
        <w:tabs>
          <w:tab w:val="clear" w:pos="8250"/>
        </w:tabs>
        <w:ind w:left="1701" w:hanging="1701"/>
      </w:pPr>
      <w:bookmarkStart w:id="44" w:name="_Toc430965448"/>
      <w:bookmarkStart w:id="45" w:name="_Toc430965555"/>
      <w:bookmarkStart w:id="46" w:name="_Toc430965565"/>
      <w:bookmarkStart w:id="47" w:name="_Toc430973418"/>
      <w:bookmarkStart w:id="48" w:name="_Toc430981429"/>
      <w:bookmarkStart w:id="49" w:name="_Toc434611699"/>
      <w:bookmarkStart w:id="50" w:name="_Toc434611821"/>
      <w:bookmarkStart w:id="51" w:name="_Toc434611955"/>
      <w:bookmarkStart w:id="52" w:name="_Toc434611963"/>
      <w:bookmarkStart w:id="53" w:name="_Toc434620379"/>
      <w:r>
        <w:t>Schedule</w:t>
      </w:r>
      <w:r w:rsidR="00C51CC3">
        <w:t xml:space="preserve"> SIB1bis every 20 ms </w:t>
      </w:r>
      <w:r>
        <w:t xml:space="preserve">in </w:t>
      </w:r>
      <w:r w:rsidRPr="000F7E48">
        <w:t>subframe #5 for every radio frame for which SFN mod 1 = 0</w:t>
      </w:r>
      <w:r>
        <w:t xml:space="preserve"> </w:t>
      </w:r>
      <w:r w:rsidR="00C51CC3">
        <w:t>to maintain a reasonable balance between system overhead and acquisition time.</w:t>
      </w:r>
      <w:bookmarkEnd w:id="44"/>
      <w:bookmarkEnd w:id="45"/>
      <w:bookmarkEnd w:id="46"/>
      <w:bookmarkEnd w:id="47"/>
      <w:bookmarkEnd w:id="48"/>
      <w:bookmarkEnd w:id="49"/>
      <w:bookmarkEnd w:id="50"/>
      <w:bookmarkEnd w:id="51"/>
      <w:bookmarkEnd w:id="52"/>
      <w:bookmarkEnd w:id="53"/>
    </w:p>
    <w:p w:rsidR="00944E32" w:rsidRDefault="00944E32" w:rsidP="00944E32">
      <w:pPr>
        <w:pStyle w:val="B1"/>
        <w:ind w:left="0" w:firstLine="0"/>
        <w:jc w:val="both"/>
      </w:pPr>
    </w:p>
    <w:p w:rsidR="00662284" w:rsidRDefault="00662284" w:rsidP="00944E32">
      <w:pPr>
        <w:pStyle w:val="B1"/>
        <w:ind w:left="0" w:firstLine="0"/>
        <w:jc w:val="both"/>
      </w:pPr>
    </w:p>
    <w:p w:rsidR="00206CDA" w:rsidRPr="001872D9" w:rsidRDefault="00206CDA" w:rsidP="00206CDA">
      <w:pPr>
        <w:pStyle w:val="Observation"/>
        <w:numPr>
          <w:ilvl w:val="0"/>
          <w:numId w:val="0"/>
        </w:numPr>
        <w:rPr>
          <w:i/>
        </w:rPr>
      </w:pPr>
      <w:bookmarkStart w:id="54" w:name="_Toc434620455"/>
      <w:bookmarkStart w:id="55" w:name="_Toc434620596"/>
      <w:r w:rsidRPr="001872D9">
        <w:rPr>
          <w:i/>
        </w:rPr>
        <w:t xml:space="preserve">SIB1bis </w:t>
      </w:r>
      <w:r>
        <w:rPr>
          <w:i/>
        </w:rPr>
        <w:t>update</w:t>
      </w:r>
      <w:bookmarkEnd w:id="54"/>
      <w:bookmarkEnd w:id="55"/>
    </w:p>
    <w:p w:rsidR="00C22C37" w:rsidRPr="001A45C9" w:rsidRDefault="00CD2024" w:rsidP="00206CDA">
      <w:r w:rsidRPr="001A45C9">
        <w:t xml:space="preserve">In </w:t>
      </w:r>
      <w:r w:rsidR="007545F9" w:rsidRPr="001A45C9">
        <w:fldChar w:fldCharType="begin"/>
      </w:r>
      <w:r w:rsidR="007545F9" w:rsidRPr="001A45C9">
        <w:instrText xml:space="preserve"> REF _Ref433800451 \r \h </w:instrText>
      </w:r>
      <w:r w:rsidR="00892A2F" w:rsidRPr="001A45C9">
        <w:instrText xml:space="preserve"> \* MERGEFORMAT </w:instrText>
      </w:r>
      <w:r w:rsidR="007545F9" w:rsidRPr="001A45C9">
        <w:fldChar w:fldCharType="separate"/>
      </w:r>
      <w:r w:rsidR="00892A2F" w:rsidRPr="001A45C9">
        <w:t>[10]</w:t>
      </w:r>
      <w:r w:rsidR="007545F9" w:rsidRPr="001A45C9">
        <w:fldChar w:fldCharType="end"/>
      </w:r>
      <w:r w:rsidR="00B73B88" w:rsidRPr="001A45C9">
        <w:t xml:space="preserve"> it was agreed that “The duration over which the content of SIB1bis cannot change is either a/ fixed in the specification or b/ determined from a table where the index to the table is included in MIB”</w:t>
      </w:r>
      <w:r w:rsidR="00892A2F" w:rsidRPr="001A45C9">
        <w:t xml:space="preserve">. </w:t>
      </w:r>
      <w:r w:rsidR="00362517" w:rsidRPr="001A45C9">
        <w:rPr>
          <w:lang w:val="en-US"/>
        </w:rPr>
        <w:t>T</w:t>
      </w:r>
      <w:r w:rsidR="00892A2F" w:rsidRPr="001A45C9">
        <w:rPr>
          <w:lang w:val="en-US"/>
        </w:rPr>
        <w:t>his would be</w:t>
      </w:r>
      <w:r w:rsidR="00206CDA" w:rsidRPr="001A45C9">
        <w:rPr>
          <w:lang w:val="en-US"/>
        </w:rPr>
        <w:t xml:space="preserve"> a modification period f</w:t>
      </w:r>
      <w:r w:rsidR="00362517" w:rsidRPr="001A45C9">
        <w:rPr>
          <w:lang w:val="en-US"/>
        </w:rPr>
        <w:t xml:space="preserve">or SIB1bis which ensures to the UE that the accumulation will not fail due to an updated content. In legacy operation this period is 80 </w:t>
      </w:r>
      <w:proofErr w:type="spellStart"/>
      <w:r w:rsidR="00362517" w:rsidRPr="001A45C9">
        <w:rPr>
          <w:lang w:val="en-US"/>
        </w:rPr>
        <w:t>ms</w:t>
      </w:r>
      <w:proofErr w:type="spellEnd"/>
      <w:r w:rsidR="00362517" w:rsidRPr="001A45C9">
        <w:rPr>
          <w:lang w:val="en-US"/>
        </w:rPr>
        <w:t xml:space="preserve">, but for Rel-13 </w:t>
      </w:r>
      <w:r w:rsidR="00204458" w:rsidRPr="001A45C9">
        <w:rPr>
          <w:lang w:val="en-US"/>
        </w:rPr>
        <w:t xml:space="preserve">LC/CE UEs </w:t>
      </w:r>
      <w:r w:rsidR="00362517" w:rsidRPr="001A45C9">
        <w:rPr>
          <w:lang w:val="en-US"/>
        </w:rPr>
        <w:t>it would have to be multiple</w:t>
      </w:r>
      <w:r w:rsidR="0029601D" w:rsidRPr="001A45C9">
        <w:rPr>
          <w:lang w:val="en-US"/>
        </w:rPr>
        <w:t xml:space="preserve"> N of </w:t>
      </w:r>
      <w:r w:rsidR="00362517" w:rsidRPr="001A45C9">
        <w:rPr>
          <w:lang w:val="en-US"/>
        </w:rPr>
        <w:t xml:space="preserve"> 80ms SIB1bis transmission period</w:t>
      </w:r>
      <w:r w:rsidR="0029601D" w:rsidRPr="001A45C9">
        <w:rPr>
          <w:lang w:val="en-US"/>
        </w:rPr>
        <w:t>s</w:t>
      </w:r>
      <w:r w:rsidR="00362517" w:rsidRPr="001A45C9">
        <w:rPr>
          <w:lang w:val="en-US"/>
        </w:rPr>
        <w:t xml:space="preserve"> since one will not be sufficient for higher CE-levels (in spite of only having RV cycling within the 80 </w:t>
      </w:r>
      <w:proofErr w:type="spellStart"/>
      <w:r w:rsidR="00362517" w:rsidRPr="001A45C9">
        <w:rPr>
          <w:lang w:val="en-US"/>
        </w:rPr>
        <w:t>ms</w:t>
      </w:r>
      <w:proofErr w:type="spellEnd"/>
      <w:r w:rsidR="00362517" w:rsidRPr="001A45C9">
        <w:rPr>
          <w:lang w:val="en-US"/>
        </w:rPr>
        <w:t xml:space="preserve"> period).</w:t>
      </w:r>
      <w:r w:rsidR="0029601D" w:rsidRPr="001A45C9">
        <w:rPr>
          <w:lang w:val="en-US"/>
        </w:rPr>
        <w:t xml:space="preserve"> </w:t>
      </w:r>
      <w:r w:rsidR="00F5334C">
        <w:rPr>
          <w:lang w:val="en-US"/>
        </w:rPr>
        <w:t xml:space="preserve">Some possible </w:t>
      </w:r>
      <w:r w:rsidR="0029601D" w:rsidRPr="001A45C9">
        <w:rPr>
          <w:lang w:val="en-US"/>
        </w:rPr>
        <w:t>solutions are 1) to have N semi-statically indicated in MIB, 2) to have N h</w:t>
      </w:r>
      <w:r w:rsidR="00085044" w:rsidRPr="001A45C9">
        <w:rPr>
          <w:lang w:val="en-US"/>
        </w:rPr>
        <w:t xml:space="preserve">ard coded in </w:t>
      </w:r>
      <w:r w:rsidR="00BF5E43" w:rsidRPr="001A45C9">
        <w:rPr>
          <w:lang w:val="en-US"/>
        </w:rPr>
        <w:t xml:space="preserve">the </w:t>
      </w:r>
      <w:r w:rsidR="00085044" w:rsidRPr="001A45C9">
        <w:rPr>
          <w:lang w:val="en-US"/>
        </w:rPr>
        <w:t>spec</w:t>
      </w:r>
      <w:r w:rsidR="00BF5E43" w:rsidRPr="001A45C9">
        <w:rPr>
          <w:lang w:val="en-US"/>
        </w:rPr>
        <w:t>ification</w:t>
      </w:r>
      <w:r w:rsidR="00085044" w:rsidRPr="001A45C9">
        <w:rPr>
          <w:lang w:val="en-US"/>
        </w:rPr>
        <w:t xml:space="preserve">s, or 3) not </w:t>
      </w:r>
      <w:r w:rsidR="00204458" w:rsidRPr="001A45C9">
        <w:rPr>
          <w:lang w:val="en-US"/>
        </w:rPr>
        <w:t xml:space="preserve">to </w:t>
      </w:r>
      <w:r w:rsidR="00BF5E43" w:rsidRPr="001A45C9">
        <w:rPr>
          <w:lang w:val="en-US"/>
        </w:rPr>
        <w:t>specify a duration over which the content of SIB1bis cannot change</w:t>
      </w:r>
      <w:r w:rsidR="00F5334C">
        <w:rPr>
          <w:lang w:val="en-US"/>
        </w:rPr>
        <w:t>, i.e. leave it up to network implementation</w:t>
      </w:r>
      <w:r w:rsidR="0029601D" w:rsidRPr="001A45C9">
        <w:rPr>
          <w:lang w:val="en-US"/>
        </w:rPr>
        <w:t xml:space="preserve">. In the last option, </w:t>
      </w:r>
      <w:r w:rsidR="00F5334C">
        <w:rPr>
          <w:lang w:val="en-US"/>
        </w:rPr>
        <w:t xml:space="preserve">a </w:t>
      </w:r>
      <w:r w:rsidR="0029601D" w:rsidRPr="001A45C9">
        <w:rPr>
          <w:lang w:val="en-US"/>
        </w:rPr>
        <w:t xml:space="preserve">UE in higher CE-levels which need to accumulate over several 80 </w:t>
      </w:r>
      <w:proofErr w:type="spellStart"/>
      <w:r w:rsidR="0029601D" w:rsidRPr="001A45C9">
        <w:rPr>
          <w:lang w:val="en-US"/>
        </w:rPr>
        <w:t>ms</w:t>
      </w:r>
      <w:proofErr w:type="spellEnd"/>
      <w:r w:rsidR="0029601D" w:rsidRPr="001A45C9">
        <w:rPr>
          <w:lang w:val="en-US"/>
        </w:rPr>
        <w:t xml:space="preserve"> SIB1bis transmission periods </w:t>
      </w:r>
      <w:r w:rsidR="00BF5E43" w:rsidRPr="001A45C9">
        <w:rPr>
          <w:lang w:val="en-US"/>
        </w:rPr>
        <w:t xml:space="preserve">may need to assume that the update </w:t>
      </w:r>
      <w:r w:rsidR="007E7E62">
        <w:rPr>
          <w:lang w:val="en-US"/>
        </w:rPr>
        <w:t xml:space="preserve">starts </w:t>
      </w:r>
      <w:r w:rsidR="00BF5E43" w:rsidRPr="001A45C9">
        <w:rPr>
          <w:lang w:val="en-US"/>
        </w:rPr>
        <w:t xml:space="preserve">based on any of the multiples of the SIB1bis period, i.e. 0, 80ms, 160 </w:t>
      </w:r>
      <w:proofErr w:type="spellStart"/>
      <w:r w:rsidR="00BF5E43" w:rsidRPr="001A45C9">
        <w:rPr>
          <w:lang w:val="en-US"/>
        </w:rPr>
        <w:t>ms</w:t>
      </w:r>
      <w:proofErr w:type="spellEnd"/>
      <w:r w:rsidR="00BF5E43" w:rsidRPr="001A45C9">
        <w:rPr>
          <w:lang w:val="en-US"/>
        </w:rPr>
        <w:t xml:space="preserve"> etc. I</w:t>
      </w:r>
      <w:r w:rsidR="00C22C37" w:rsidRPr="001A45C9">
        <w:rPr>
          <w:lang w:val="en-US"/>
        </w:rPr>
        <w:t>n legacy operation</w:t>
      </w:r>
      <w:r w:rsidR="007E7E62">
        <w:rPr>
          <w:lang w:val="en-US"/>
        </w:rPr>
        <w:t>,</w:t>
      </w:r>
      <w:r w:rsidR="00C22C37" w:rsidRPr="001A45C9">
        <w:rPr>
          <w:lang w:val="en-US"/>
        </w:rPr>
        <w:t xml:space="preserve"> </w:t>
      </w:r>
      <w:r w:rsidR="00206CDA" w:rsidRPr="001A45C9">
        <w:rPr>
          <w:lang w:val="en-US"/>
        </w:rPr>
        <w:t xml:space="preserve">the network </w:t>
      </w:r>
      <w:r w:rsidR="00BF5E43" w:rsidRPr="001A45C9">
        <w:rPr>
          <w:lang w:val="en-US"/>
        </w:rPr>
        <w:t>can</w:t>
      </w:r>
      <w:r w:rsidR="007E7E62">
        <w:rPr>
          <w:lang w:val="en-US"/>
        </w:rPr>
        <w:t>, from a specification standpoint,</w:t>
      </w:r>
      <w:r w:rsidR="00206CDA" w:rsidRPr="001A45C9">
        <w:rPr>
          <w:lang w:val="en-US"/>
        </w:rPr>
        <w:t xml:space="preserve"> update SIB1 </w:t>
      </w:r>
      <w:r w:rsidR="00CB15BC" w:rsidRPr="001A45C9">
        <w:rPr>
          <w:lang w:val="en-US"/>
        </w:rPr>
        <w:t xml:space="preserve">at any of the multiples of </w:t>
      </w:r>
      <w:r w:rsidR="00206CDA" w:rsidRPr="001A45C9">
        <w:rPr>
          <w:lang w:val="en-US"/>
        </w:rPr>
        <w:t xml:space="preserve">80 </w:t>
      </w:r>
      <w:proofErr w:type="spellStart"/>
      <w:r w:rsidR="00206CDA" w:rsidRPr="001A45C9">
        <w:rPr>
          <w:lang w:val="en-US"/>
        </w:rPr>
        <w:t>ms</w:t>
      </w:r>
      <w:proofErr w:type="spellEnd"/>
      <w:r w:rsidR="00CB15BC" w:rsidRPr="001A45C9">
        <w:rPr>
          <w:lang w:val="en-US"/>
        </w:rPr>
        <w:t xml:space="preserve"> after the modification period in which change notification is sent</w:t>
      </w:r>
      <w:r w:rsidR="007E7E62">
        <w:rPr>
          <w:lang w:val="en-US"/>
        </w:rPr>
        <w:t>, e</w:t>
      </w:r>
      <w:r w:rsidR="00CB15BC" w:rsidRPr="001A45C9">
        <w:rPr>
          <w:lang w:val="en-US"/>
        </w:rPr>
        <w:t xml:space="preserve">ven though one can expect that the update is most likely to take place </w:t>
      </w:r>
      <w:r w:rsidR="00E9280F" w:rsidRPr="001A45C9">
        <w:rPr>
          <w:lang w:val="en-US"/>
        </w:rPr>
        <w:t>starting with the modification period border, i.e. the border between the modification period in which change notification is sent and the modification period in which information is updated (see Figure 5.2.1.3-1 in [2])</w:t>
      </w:r>
      <w:r w:rsidR="007E7E62">
        <w:rPr>
          <w:lang w:val="en-US"/>
        </w:rPr>
        <w:t>.</w:t>
      </w:r>
    </w:p>
    <w:p w:rsidR="00945066" w:rsidRDefault="00206CDA" w:rsidP="006E0C2D">
      <w:pPr>
        <w:rPr>
          <w:lang w:val="en-US"/>
        </w:rPr>
      </w:pPr>
      <w:r w:rsidRPr="001A45C9">
        <w:rPr>
          <w:lang w:val="en-US"/>
        </w:rPr>
        <w:t xml:space="preserve"> </w:t>
      </w:r>
    </w:p>
    <w:p w:rsidR="00F5334C" w:rsidRDefault="00F5334C" w:rsidP="00F5334C">
      <w:pPr>
        <w:spacing w:after="0"/>
      </w:pPr>
    </w:p>
    <w:p w:rsidR="00F5334C" w:rsidRDefault="00F5334C" w:rsidP="00F5334C">
      <w:pPr>
        <w:pStyle w:val="Proposal"/>
        <w:tabs>
          <w:tab w:val="clear" w:pos="8250"/>
        </w:tabs>
        <w:ind w:left="1701" w:hanging="1701"/>
      </w:pPr>
      <w:bookmarkStart w:id="56" w:name="_Toc434620380"/>
      <w:r>
        <w:t>The duration over which the content of SIB1bis cannot change is fixed in the specification, i.e. 80 ms.</w:t>
      </w:r>
      <w:bookmarkEnd w:id="56"/>
    </w:p>
    <w:p w:rsidR="00206CDA" w:rsidRDefault="00206CDA" w:rsidP="00944E32">
      <w:pPr>
        <w:pStyle w:val="B1"/>
        <w:ind w:left="0" w:firstLine="0"/>
        <w:jc w:val="both"/>
      </w:pPr>
    </w:p>
    <w:p w:rsidR="00944E32" w:rsidRPr="00953ACE" w:rsidRDefault="00944E32" w:rsidP="00944E32">
      <w:pPr>
        <w:pStyle w:val="B1"/>
        <w:spacing w:before="240" w:after="120"/>
        <w:ind w:left="0" w:firstLine="0"/>
        <w:jc w:val="both"/>
        <w:rPr>
          <w:b/>
          <w:i/>
        </w:rPr>
      </w:pPr>
      <w:r w:rsidRPr="00953ACE">
        <w:rPr>
          <w:b/>
          <w:i/>
        </w:rPr>
        <w:t>Frequency location</w:t>
      </w:r>
      <w:r w:rsidR="00953ACE">
        <w:rPr>
          <w:b/>
          <w:i/>
        </w:rPr>
        <w:t xml:space="preserve"> &amp; hopping indication </w:t>
      </w:r>
    </w:p>
    <w:p w:rsidR="00961DF8" w:rsidRPr="00953ACE" w:rsidRDefault="00944E32" w:rsidP="0052769E">
      <w:pPr>
        <w:pStyle w:val="BodyText"/>
        <w:spacing w:before="120"/>
        <w:rPr>
          <w:b/>
          <w:i/>
        </w:rPr>
      </w:pPr>
      <w:r>
        <w:t xml:space="preserve">The working assumption in RAN1 is that the frequency location for SIB1bis is determined based on subframe index/SFN, cell id, and system bandwidth </w:t>
      </w:r>
      <w:r>
        <w:fldChar w:fldCharType="begin"/>
      </w:r>
      <w:r>
        <w:instrText xml:space="preserve"> REF _Ref425236441 \r \h </w:instrText>
      </w:r>
      <w:r>
        <w:fldChar w:fldCharType="separate"/>
      </w:r>
      <w:r w:rsidR="00892A2F">
        <w:t>[11]</w:t>
      </w:r>
      <w:r>
        <w:fldChar w:fldCharType="end"/>
      </w:r>
      <w:r>
        <w:t xml:space="preserve">. </w:t>
      </w:r>
      <w:r w:rsidR="00953ACE">
        <w:t>Regarding frequency hopping</w:t>
      </w:r>
      <w:r w:rsidR="00961DF8">
        <w:t xml:space="preserve"> </w:t>
      </w:r>
      <w:r w:rsidR="00B2671A">
        <w:t>it has been</w:t>
      </w:r>
      <w:r w:rsidR="00953ACE">
        <w:t xml:space="preserve"> </w:t>
      </w:r>
      <w:r w:rsidR="00961DF8">
        <w:t>agree</w:t>
      </w:r>
      <w:r w:rsidR="00953ACE">
        <w:t>d</w:t>
      </w:r>
      <w:r w:rsidR="00884F04">
        <w:t xml:space="preserve"> that</w:t>
      </w:r>
      <w:r w:rsidR="00B2671A">
        <w:t xml:space="preserve"> </w:t>
      </w:r>
      <w:r w:rsidR="00B2671A">
        <w:fldChar w:fldCharType="begin"/>
      </w:r>
      <w:r w:rsidR="00B2671A">
        <w:instrText xml:space="preserve"> REF _Ref433799538 \r \h </w:instrText>
      </w:r>
      <w:r w:rsidR="00B2671A">
        <w:fldChar w:fldCharType="separate"/>
      </w:r>
      <w:r w:rsidR="00892A2F">
        <w:t>[12]</w:t>
      </w:r>
      <w:r w:rsidR="00B2671A">
        <w:fldChar w:fldCharType="end"/>
      </w:r>
      <w:r w:rsidR="00961DF8">
        <w:t>:</w:t>
      </w:r>
    </w:p>
    <w:p w:rsidR="00961DF8" w:rsidRPr="00961DF8" w:rsidRDefault="00961DF8" w:rsidP="00C26962">
      <w:pPr>
        <w:pStyle w:val="BodyText"/>
        <w:numPr>
          <w:ilvl w:val="1"/>
          <w:numId w:val="12"/>
        </w:numPr>
        <w:spacing w:before="120"/>
        <w:rPr>
          <w:rStyle w:val="Emphasis"/>
          <w:lang w:val="en-US"/>
        </w:rPr>
      </w:pPr>
      <w:r w:rsidRPr="00961DF8">
        <w:rPr>
          <w:rStyle w:val="Emphasis"/>
          <w:lang w:val="en-US"/>
        </w:rPr>
        <w:t xml:space="preserve">Frequency hopping for SIB1bis is always used at least for system bandwidth ≥ 5MHz </w:t>
      </w:r>
    </w:p>
    <w:p w:rsidR="00961DF8" w:rsidRPr="00961DF8" w:rsidRDefault="00961DF8" w:rsidP="00C26962">
      <w:pPr>
        <w:pStyle w:val="BodyText"/>
        <w:numPr>
          <w:ilvl w:val="1"/>
          <w:numId w:val="12"/>
        </w:numPr>
        <w:spacing w:before="120"/>
        <w:rPr>
          <w:rStyle w:val="Emphasis"/>
          <w:lang w:val="en-US"/>
        </w:rPr>
      </w:pPr>
      <w:r w:rsidRPr="00961DF8">
        <w:rPr>
          <w:rStyle w:val="Emphasis"/>
          <w:lang w:val="en-US"/>
        </w:rPr>
        <w:t xml:space="preserve">MTC-SIB1 frequency hopping takes place between 2 or 4 </w:t>
      </w:r>
      <w:proofErr w:type="spellStart"/>
      <w:r w:rsidRPr="00961DF8">
        <w:rPr>
          <w:rStyle w:val="Emphasis"/>
          <w:lang w:val="en-US"/>
        </w:rPr>
        <w:t>narrowbands</w:t>
      </w:r>
      <w:proofErr w:type="spellEnd"/>
      <w:r w:rsidRPr="00961DF8">
        <w:rPr>
          <w:rStyle w:val="Emphasis"/>
          <w:lang w:val="en-US"/>
        </w:rPr>
        <w:t xml:space="preserve"> depending on the system bandwidth</w:t>
      </w:r>
    </w:p>
    <w:p w:rsidR="00961DF8" w:rsidRPr="00961DF8" w:rsidRDefault="00961DF8" w:rsidP="00C26962">
      <w:pPr>
        <w:pStyle w:val="BodyText"/>
        <w:numPr>
          <w:ilvl w:val="3"/>
          <w:numId w:val="12"/>
        </w:numPr>
        <w:spacing w:before="120"/>
        <w:rPr>
          <w:rStyle w:val="Emphasis"/>
          <w:lang w:val="en-US"/>
        </w:rPr>
      </w:pPr>
      <w:proofErr w:type="spellStart"/>
      <w:r w:rsidRPr="00961DF8">
        <w:rPr>
          <w:rStyle w:val="Emphasis"/>
          <w:lang w:val="en-US"/>
        </w:rPr>
        <w:t>narrowbands</w:t>
      </w:r>
      <w:proofErr w:type="spellEnd"/>
      <w:r w:rsidRPr="00961DF8">
        <w:rPr>
          <w:rStyle w:val="Emphasis"/>
        </w:rPr>
        <w:t xml:space="preserve"> = 2 for system BW of </w:t>
      </w:r>
      <w:r w:rsidRPr="00961DF8">
        <w:rPr>
          <w:rStyle w:val="Emphasis"/>
          <w:lang w:val="en-US"/>
        </w:rPr>
        <w:t>12-50 RBs</w:t>
      </w:r>
    </w:p>
    <w:p w:rsidR="00961DF8" w:rsidRPr="00961DF8" w:rsidRDefault="00961DF8" w:rsidP="00C26962">
      <w:pPr>
        <w:pStyle w:val="BodyText"/>
        <w:numPr>
          <w:ilvl w:val="3"/>
          <w:numId w:val="12"/>
        </w:numPr>
        <w:spacing w:before="120"/>
        <w:rPr>
          <w:rStyle w:val="Emphasis"/>
          <w:lang w:val="en-US"/>
        </w:rPr>
      </w:pPr>
      <w:proofErr w:type="spellStart"/>
      <w:r w:rsidRPr="00961DF8">
        <w:rPr>
          <w:rStyle w:val="Emphasis"/>
          <w:lang w:val="en-US"/>
        </w:rPr>
        <w:t>narrowbands</w:t>
      </w:r>
      <w:proofErr w:type="spellEnd"/>
      <w:r w:rsidRPr="00961DF8">
        <w:rPr>
          <w:rStyle w:val="Emphasis"/>
          <w:lang w:val="en-US"/>
        </w:rPr>
        <w:t xml:space="preserve"> </w:t>
      </w:r>
      <w:r w:rsidRPr="00961DF8">
        <w:rPr>
          <w:rStyle w:val="Emphasis"/>
        </w:rPr>
        <w:t xml:space="preserve">= 4 for system BW of </w:t>
      </w:r>
      <w:r w:rsidRPr="00961DF8">
        <w:rPr>
          <w:rStyle w:val="Emphasis"/>
          <w:lang w:val="en-US"/>
        </w:rPr>
        <w:t>51-110 RBs</w:t>
      </w:r>
    </w:p>
    <w:p w:rsidR="00961DF8" w:rsidRPr="00961DF8" w:rsidRDefault="00961DF8" w:rsidP="00C26962">
      <w:pPr>
        <w:pStyle w:val="BodyText"/>
        <w:numPr>
          <w:ilvl w:val="1"/>
          <w:numId w:val="12"/>
        </w:numPr>
        <w:spacing w:before="120"/>
        <w:rPr>
          <w:rStyle w:val="Emphasis"/>
          <w:lang w:val="en-US"/>
        </w:rPr>
      </w:pPr>
      <w:r w:rsidRPr="00961DF8">
        <w:rPr>
          <w:rStyle w:val="Emphasis"/>
          <w:lang w:val="en-US"/>
        </w:rPr>
        <w:t xml:space="preserve">Confirm the working assumption that the mentioned </w:t>
      </w:r>
      <w:proofErr w:type="spellStart"/>
      <w:r w:rsidRPr="00961DF8">
        <w:rPr>
          <w:rStyle w:val="Emphasis"/>
          <w:lang w:val="en-US"/>
        </w:rPr>
        <w:t>narrowbands</w:t>
      </w:r>
      <w:proofErr w:type="spellEnd"/>
      <w:r w:rsidRPr="00961DF8">
        <w:rPr>
          <w:rStyle w:val="Emphasis"/>
          <w:lang w:val="en-US"/>
        </w:rPr>
        <w:t xml:space="preserve"> are determined based on cell ID and system bandwidth </w:t>
      </w:r>
    </w:p>
    <w:p w:rsidR="00961DF8" w:rsidRPr="00961DF8" w:rsidRDefault="00961DF8" w:rsidP="00C26962">
      <w:pPr>
        <w:pStyle w:val="BodyText"/>
        <w:numPr>
          <w:ilvl w:val="3"/>
          <w:numId w:val="12"/>
        </w:numPr>
        <w:spacing w:before="120"/>
        <w:rPr>
          <w:rStyle w:val="Emphasis"/>
          <w:lang w:val="en-US"/>
        </w:rPr>
      </w:pPr>
      <w:r w:rsidRPr="00961DF8">
        <w:rPr>
          <w:rStyle w:val="Emphasis"/>
          <w:lang w:val="en-US"/>
        </w:rPr>
        <w:t>FFS on how to handle the case if MTC-SIB1 overlaps with PBCH</w:t>
      </w:r>
    </w:p>
    <w:p w:rsidR="00961DF8" w:rsidRPr="00961DF8" w:rsidRDefault="00961DF8" w:rsidP="00C26962">
      <w:pPr>
        <w:pStyle w:val="BodyText"/>
        <w:numPr>
          <w:ilvl w:val="1"/>
          <w:numId w:val="12"/>
        </w:numPr>
        <w:spacing w:before="120"/>
        <w:rPr>
          <w:rStyle w:val="Emphasis"/>
          <w:lang w:val="en-US"/>
        </w:rPr>
      </w:pPr>
      <w:r w:rsidRPr="00961DF8">
        <w:rPr>
          <w:rStyle w:val="Emphasis"/>
          <w:lang w:val="en-US"/>
        </w:rPr>
        <w:t xml:space="preserve">Confirm the working assumption that the hopping sequence between these </w:t>
      </w:r>
      <w:proofErr w:type="spellStart"/>
      <w:r w:rsidRPr="00961DF8">
        <w:rPr>
          <w:rStyle w:val="Emphasis"/>
          <w:lang w:val="en-US"/>
        </w:rPr>
        <w:t>narrowbands</w:t>
      </w:r>
      <w:proofErr w:type="spellEnd"/>
      <w:r w:rsidRPr="00961DF8">
        <w:rPr>
          <w:rStyle w:val="Emphasis"/>
          <w:lang w:val="en-US"/>
        </w:rPr>
        <w:t xml:space="preserve"> is determined based on cell ID and subframe index (and/or SFN)</w:t>
      </w:r>
    </w:p>
    <w:p w:rsidR="0081161C" w:rsidRDefault="00961DF8" w:rsidP="00213A4E">
      <w:pPr>
        <w:pStyle w:val="BodyText"/>
        <w:spacing w:before="120"/>
        <w:rPr>
          <w:lang w:val="en-US"/>
        </w:rPr>
      </w:pPr>
      <w:r>
        <w:rPr>
          <w:lang w:val="en-US"/>
        </w:rPr>
        <w:t xml:space="preserve">The only remaining need for use of MIB spare bits is </w:t>
      </w:r>
      <w:r w:rsidR="00E9465D">
        <w:rPr>
          <w:lang w:val="en-US"/>
        </w:rPr>
        <w:t xml:space="preserve">therefore </w:t>
      </w:r>
      <w:r>
        <w:rPr>
          <w:lang w:val="en-US"/>
        </w:rPr>
        <w:t xml:space="preserve">possibly </w:t>
      </w:r>
      <w:r w:rsidR="00E9465D">
        <w:rPr>
          <w:lang w:val="en-US"/>
        </w:rPr>
        <w:t xml:space="preserve">to </w:t>
      </w:r>
      <w:r>
        <w:rPr>
          <w:lang w:val="en-US"/>
        </w:rPr>
        <w:t>indi</w:t>
      </w:r>
      <w:r w:rsidR="00E9465D">
        <w:rPr>
          <w:lang w:val="en-US"/>
        </w:rPr>
        <w:t xml:space="preserve">cate whether frequency hopping is used for SIB1bis for system BWs below 5 MHz, i.e. 3 MHz and 1.4 </w:t>
      </w:r>
      <w:proofErr w:type="spellStart"/>
      <w:r w:rsidR="00E9465D">
        <w:rPr>
          <w:lang w:val="en-US"/>
        </w:rPr>
        <w:t>MHz.</w:t>
      </w:r>
      <w:proofErr w:type="spellEnd"/>
      <w:r w:rsidR="0081161C">
        <w:rPr>
          <w:lang w:val="en-US"/>
        </w:rPr>
        <w:t xml:space="preserve"> Since no or insignificant </w:t>
      </w:r>
      <w:r w:rsidR="0081161C">
        <w:rPr>
          <w:lang w:val="en-US"/>
        </w:rPr>
        <w:lastRenderedPageBreak/>
        <w:t>gains are expected for f-hopping over less t</w:t>
      </w:r>
      <w:r w:rsidR="004C2FE0">
        <w:rPr>
          <w:lang w:val="en-US"/>
        </w:rPr>
        <w:t>han the coherence bandwidth it c</w:t>
      </w:r>
      <w:r w:rsidR="0081161C">
        <w:rPr>
          <w:lang w:val="en-US"/>
        </w:rPr>
        <w:t>ould be beneficial not to have f-hopping for narrow system bandwidths to avoid the frequency re-tuning.</w:t>
      </w:r>
      <w:r w:rsidR="00D93944">
        <w:rPr>
          <w:lang w:val="en-US"/>
        </w:rPr>
        <w:t xml:space="preserve"> </w:t>
      </w:r>
      <w:r w:rsidR="00B31582">
        <w:rPr>
          <w:lang w:val="en-US"/>
        </w:rPr>
        <w:t>But since</w:t>
      </w:r>
      <w:r w:rsidR="00D93944">
        <w:rPr>
          <w:lang w:val="en-US"/>
        </w:rPr>
        <w:t xml:space="preserve"> </w:t>
      </w:r>
      <w:r w:rsidR="008F6487">
        <w:t>it was agreed</w:t>
      </w:r>
      <w:r w:rsidR="00884F04">
        <w:t xml:space="preserve"> that only 2 OFDM symbols are needed for Rx-to-Rx retuning and since the worst CFI region will have to be assumed for SIB1bis decoding, re-tuning will have no impact on SIB1bis acquisition</w:t>
      </w:r>
      <w:r w:rsidR="00B2671A">
        <w:t xml:space="preserve"> </w:t>
      </w:r>
      <w:r w:rsidR="00B2671A">
        <w:fldChar w:fldCharType="begin"/>
      </w:r>
      <w:r w:rsidR="00B2671A">
        <w:instrText xml:space="preserve"> REF _Ref433799538 \r \h </w:instrText>
      </w:r>
      <w:r w:rsidR="00B2671A">
        <w:fldChar w:fldCharType="separate"/>
      </w:r>
      <w:r w:rsidR="00892A2F">
        <w:t>[12]</w:t>
      </w:r>
      <w:r w:rsidR="00B2671A">
        <w:fldChar w:fldCharType="end"/>
      </w:r>
      <w:r w:rsidR="008F6487">
        <w:t>.</w:t>
      </w:r>
      <w:r w:rsidR="0081161C">
        <w:rPr>
          <w:lang w:val="en-US"/>
        </w:rPr>
        <w:t xml:space="preserve"> </w:t>
      </w:r>
      <w:r w:rsidR="00B31582">
        <w:rPr>
          <w:lang w:val="en-US"/>
        </w:rPr>
        <w:t>There can however be other drawback</w:t>
      </w:r>
      <w:r w:rsidR="00214BA3">
        <w:rPr>
          <w:lang w:val="en-US"/>
        </w:rPr>
        <w:t>s</w:t>
      </w:r>
      <w:r w:rsidR="00B31582">
        <w:rPr>
          <w:lang w:val="en-US"/>
        </w:rPr>
        <w:t xml:space="preserve"> with unnecessary frequency hopping; SIB1bis frequency hopping will force other DL channels to hop which may be unwanted, and having to restart the sliding window for channel estimation upon every hop. Therefore we propose the following:</w:t>
      </w:r>
    </w:p>
    <w:p w:rsidR="00213A4E" w:rsidRDefault="00213A4E" w:rsidP="00213A4E">
      <w:pPr>
        <w:pStyle w:val="BodyText"/>
        <w:spacing w:before="120"/>
      </w:pPr>
    </w:p>
    <w:p w:rsidR="0081161C" w:rsidRPr="001A45C9" w:rsidRDefault="009C40CA" w:rsidP="0081161C">
      <w:pPr>
        <w:pStyle w:val="Proposal"/>
        <w:tabs>
          <w:tab w:val="clear" w:pos="8250"/>
        </w:tabs>
        <w:spacing w:before="120" w:after="240"/>
        <w:ind w:left="1701" w:hanging="1701"/>
        <w:rPr>
          <w:rStyle w:val="Emphasis"/>
          <w:i w:val="0"/>
          <w:iCs w:val="0"/>
        </w:rPr>
      </w:pPr>
      <w:bookmarkStart w:id="57" w:name="_Toc434611701"/>
      <w:bookmarkStart w:id="58" w:name="_Toc434611823"/>
      <w:bookmarkStart w:id="59" w:name="_Toc434611957"/>
      <w:bookmarkStart w:id="60" w:name="_Toc434611965"/>
      <w:bookmarkStart w:id="61" w:name="_Toc434620381"/>
      <w:r w:rsidRPr="001A45C9">
        <w:t xml:space="preserve">No MIB spare bits are used to configure frequency hopping and frequency hopping for SIB1bis is implicitly enabled if system BW </w:t>
      </w:r>
      <w:r w:rsidRPr="001A45C9">
        <w:rPr>
          <w:rStyle w:val="Emphasis"/>
          <w:lang w:val="en-US"/>
        </w:rPr>
        <w:t xml:space="preserve">≥ </w:t>
      </w:r>
      <w:r w:rsidRPr="001A45C9">
        <w:rPr>
          <w:rStyle w:val="Emphasis"/>
          <w:i w:val="0"/>
          <w:lang w:val="en-US"/>
        </w:rPr>
        <w:t>X MHz</w:t>
      </w:r>
      <w:r w:rsidR="004433AD" w:rsidRPr="001A45C9">
        <w:rPr>
          <w:rStyle w:val="Emphasis"/>
          <w:i w:val="0"/>
          <w:lang w:val="en-US"/>
        </w:rPr>
        <w:t>, where</w:t>
      </w:r>
      <w:r w:rsidR="007E7E62">
        <w:rPr>
          <w:rStyle w:val="Emphasis"/>
          <w:i w:val="0"/>
          <w:lang w:val="en-US"/>
        </w:rPr>
        <w:t xml:space="preserve"> </w:t>
      </w:r>
      <w:r w:rsidR="00475A0D" w:rsidRPr="001A45C9">
        <w:rPr>
          <w:rStyle w:val="Emphasis"/>
          <w:i w:val="0"/>
          <w:lang w:val="en-US"/>
        </w:rPr>
        <w:t xml:space="preserve">X is </w:t>
      </w:r>
      <w:r w:rsidR="007E7E62">
        <w:rPr>
          <w:rStyle w:val="Emphasis"/>
          <w:i w:val="0"/>
          <w:lang w:val="en-US"/>
        </w:rPr>
        <w:t xml:space="preserve">up to </w:t>
      </w:r>
      <w:r w:rsidR="00475A0D" w:rsidRPr="001A45C9">
        <w:rPr>
          <w:rStyle w:val="Emphasis"/>
          <w:i w:val="0"/>
          <w:lang w:val="en-US"/>
        </w:rPr>
        <w:t>RAN1 to decide.</w:t>
      </w:r>
      <w:bookmarkEnd w:id="57"/>
      <w:bookmarkEnd w:id="58"/>
      <w:bookmarkEnd w:id="59"/>
      <w:bookmarkEnd w:id="60"/>
      <w:bookmarkEnd w:id="61"/>
    </w:p>
    <w:p w:rsidR="007E7E62" w:rsidRDefault="007E7E62" w:rsidP="00831821">
      <w:pPr>
        <w:pStyle w:val="BodyText"/>
        <w:spacing w:before="120"/>
      </w:pPr>
    </w:p>
    <w:p w:rsidR="00831821" w:rsidRDefault="00831821" w:rsidP="00831821">
      <w:pPr>
        <w:pStyle w:val="BodyText"/>
        <w:spacing w:before="120"/>
      </w:pPr>
      <w:r w:rsidRPr="001A45C9">
        <w:t>The value for</w:t>
      </w:r>
      <w:r>
        <w:t xml:space="preserve"> X is up to RAN1 to decide depending on the expected f-hopping gains.</w:t>
      </w:r>
    </w:p>
    <w:p w:rsidR="00B31582" w:rsidRDefault="00B31582" w:rsidP="0052769E">
      <w:pPr>
        <w:pStyle w:val="BodyText"/>
        <w:spacing w:before="120"/>
      </w:pPr>
    </w:p>
    <w:p w:rsidR="001E1617" w:rsidRPr="001E1617" w:rsidRDefault="001E1617" w:rsidP="001E1617">
      <w:pPr>
        <w:rPr>
          <w:b/>
          <w:i/>
        </w:rPr>
      </w:pPr>
      <w:r>
        <w:rPr>
          <w:b/>
          <w:i/>
        </w:rPr>
        <w:t>SIB1bis t</w:t>
      </w:r>
      <w:r w:rsidRPr="001E1617">
        <w:rPr>
          <w:b/>
          <w:i/>
        </w:rPr>
        <w:t>ransport block size indication</w:t>
      </w:r>
    </w:p>
    <w:p w:rsidR="001E1617" w:rsidRDefault="001E1617" w:rsidP="001E1617">
      <w:pPr>
        <w:pStyle w:val="B1"/>
        <w:spacing w:after="240"/>
        <w:ind w:left="0" w:firstLine="0"/>
        <w:jc w:val="both"/>
      </w:pPr>
      <w:r>
        <w:t>RAN2 has agreed that the “</w:t>
      </w:r>
      <w:r w:rsidRPr="00682635">
        <w:t>UE determines the TBS of SIB1</w:t>
      </w:r>
      <w:r>
        <w:t>bis</w:t>
      </w:r>
      <w:r w:rsidRPr="00682635">
        <w:t xml:space="preserve"> based on information in MIB</w:t>
      </w:r>
      <w:r w:rsidR="001C3345">
        <w:t xml:space="preserve">” </w:t>
      </w:r>
      <w:r w:rsidR="001C3345">
        <w:fldChar w:fldCharType="begin"/>
      </w:r>
      <w:r w:rsidR="001C3345">
        <w:instrText xml:space="preserve"> REF _Ref425236122 \r \h </w:instrText>
      </w:r>
      <w:r w:rsidR="001C3345">
        <w:fldChar w:fldCharType="separate"/>
      </w:r>
      <w:r w:rsidR="001C3345">
        <w:t>[8]</w:t>
      </w:r>
      <w:r w:rsidR="001C3345">
        <w:fldChar w:fldCharType="end"/>
      </w:r>
      <w:r>
        <w:t xml:space="preserve">. Since modulation is fixed to QPSK for SIB transmission and the PRB allocation is already known, only TBS needs to be indicated. The length of the TBS indication in MIB depends on the step size and the lower and </w:t>
      </w:r>
      <w:r>
        <w:rPr>
          <w:lang w:eastAsia="zh-CN"/>
        </w:rPr>
        <w:t>upper</w:t>
      </w:r>
      <w:r>
        <w:t xml:space="preserve"> size limits of SIB1bis. For example, if the size of SIB1bis ranges between 100 and 1000 bits, and the step size set to 32 bits, a 5 bit TBS field is sufficient. (Note that TBS entries should be byte aligned.)</w:t>
      </w:r>
    </w:p>
    <w:p w:rsidR="003E11B7" w:rsidRDefault="003E11B7" w:rsidP="001E1617">
      <w:pPr>
        <w:pStyle w:val="B1"/>
        <w:spacing w:after="240"/>
        <w:ind w:left="0" w:firstLine="0"/>
        <w:jc w:val="both"/>
      </w:pPr>
    </w:p>
    <w:tbl>
      <w:tblPr>
        <w:tblW w:w="0" w:type="auto"/>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40"/>
        <w:gridCol w:w="2639"/>
        <w:gridCol w:w="4384"/>
      </w:tblGrid>
      <w:tr w:rsidR="001E1617" w:rsidTr="001872D9">
        <w:trPr>
          <w:jc w:val="center"/>
        </w:trPr>
        <w:tc>
          <w:tcPr>
            <w:tcW w:w="1740" w:type="dxa"/>
            <w:shd w:val="clear" w:color="auto" w:fill="D9D9D9"/>
          </w:tcPr>
          <w:p w:rsidR="001E1617" w:rsidRPr="00D810DE" w:rsidRDefault="001E1617" w:rsidP="001872D9">
            <w:pPr>
              <w:pStyle w:val="B1"/>
              <w:ind w:left="0" w:firstLine="0"/>
              <w:rPr>
                <w:b/>
              </w:rPr>
            </w:pPr>
            <w:r w:rsidRPr="00D810DE">
              <w:rPr>
                <w:b/>
              </w:rPr>
              <w:t>TBS field length</w:t>
            </w:r>
          </w:p>
        </w:tc>
        <w:tc>
          <w:tcPr>
            <w:tcW w:w="2639" w:type="dxa"/>
            <w:shd w:val="clear" w:color="auto" w:fill="D9D9D9"/>
          </w:tcPr>
          <w:p w:rsidR="001E1617" w:rsidRPr="00D810DE" w:rsidRDefault="001E1617" w:rsidP="001872D9">
            <w:pPr>
              <w:pStyle w:val="B1"/>
              <w:ind w:left="0" w:firstLine="0"/>
              <w:rPr>
                <w:b/>
              </w:rPr>
            </w:pPr>
            <w:r w:rsidRPr="00D810DE">
              <w:rPr>
                <w:b/>
              </w:rPr>
              <w:t>TBS step size</w:t>
            </w:r>
            <w:r>
              <w:rPr>
                <w:b/>
              </w:rPr>
              <w:t xml:space="preserve"> (absolute)</w:t>
            </w:r>
          </w:p>
        </w:tc>
        <w:tc>
          <w:tcPr>
            <w:tcW w:w="4384" w:type="dxa"/>
            <w:shd w:val="clear" w:color="auto" w:fill="D9D9D9"/>
          </w:tcPr>
          <w:p w:rsidR="001E1617" w:rsidRPr="00D810DE" w:rsidRDefault="001E1617" w:rsidP="001872D9">
            <w:pPr>
              <w:pStyle w:val="B1"/>
              <w:ind w:left="0" w:firstLine="0"/>
              <w:rPr>
                <w:b/>
              </w:rPr>
            </w:pPr>
            <w:r>
              <w:rPr>
                <w:b/>
              </w:rPr>
              <w:t>Possible SIB1bis sizes</w:t>
            </w:r>
          </w:p>
        </w:tc>
      </w:tr>
      <w:tr w:rsidR="001E1617" w:rsidTr="001872D9">
        <w:trPr>
          <w:jc w:val="center"/>
        </w:trPr>
        <w:tc>
          <w:tcPr>
            <w:tcW w:w="1740" w:type="dxa"/>
            <w:shd w:val="clear" w:color="auto" w:fill="auto"/>
          </w:tcPr>
          <w:p w:rsidR="001E1617" w:rsidRPr="00EF413B" w:rsidRDefault="001E1617" w:rsidP="001872D9">
            <w:pPr>
              <w:pStyle w:val="B1"/>
              <w:ind w:left="0" w:firstLine="0"/>
              <w:jc w:val="both"/>
            </w:pPr>
            <w:r w:rsidRPr="00EF413B">
              <w:t>3 bits</w:t>
            </w:r>
          </w:p>
        </w:tc>
        <w:tc>
          <w:tcPr>
            <w:tcW w:w="2639" w:type="dxa"/>
            <w:shd w:val="clear" w:color="auto" w:fill="auto"/>
          </w:tcPr>
          <w:p w:rsidR="001E1617" w:rsidRPr="00EF413B" w:rsidRDefault="001E1617" w:rsidP="001872D9">
            <w:pPr>
              <w:pStyle w:val="B1"/>
              <w:ind w:left="0" w:firstLine="0"/>
              <w:jc w:val="both"/>
            </w:pPr>
            <w:r w:rsidRPr="00EF413B">
              <w:t>3</w:t>
            </w:r>
            <w:r>
              <w:t>2</w:t>
            </w:r>
            <w:r w:rsidRPr="00EF413B">
              <w:t xml:space="preserve"> bits</w:t>
            </w:r>
          </w:p>
        </w:tc>
        <w:tc>
          <w:tcPr>
            <w:tcW w:w="4384" w:type="dxa"/>
            <w:shd w:val="clear" w:color="auto" w:fill="auto"/>
          </w:tcPr>
          <w:p w:rsidR="001E1617" w:rsidRPr="00EF413B" w:rsidRDefault="001E1617" w:rsidP="001872D9">
            <w:pPr>
              <w:pStyle w:val="B1"/>
              <w:ind w:left="0" w:firstLine="0"/>
              <w:jc w:val="both"/>
            </w:pPr>
            <w:r w:rsidRPr="00EF413B">
              <w:t>1</w:t>
            </w:r>
            <w:r>
              <w:t>04-328</w:t>
            </w:r>
            <w:r w:rsidRPr="00EF413B">
              <w:t xml:space="preserve"> bits</w:t>
            </w:r>
          </w:p>
        </w:tc>
      </w:tr>
      <w:tr w:rsidR="001E1617" w:rsidTr="001872D9">
        <w:trPr>
          <w:jc w:val="center"/>
        </w:trPr>
        <w:tc>
          <w:tcPr>
            <w:tcW w:w="1740" w:type="dxa"/>
            <w:shd w:val="clear" w:color="auto" w:fill="auto"/>
          </w:tcPr>
          <w:p w:rsidR="001E1617" w:rsidRPr="00EF413B" w:rsidRDefault="001E1617" w:rsidP="001872D9">
            <w:pPr>
              <w:pStyle w:val="B1"/>
              <w:ind w:left="0" w:firstLine="0"/>
              <w:jc w:val="both"/>
            </w:pPr>
            <w:bookmarkStart w:id="62" w:name="_GoBack"/>
            <w:bookmarkEnd w:id="62"/>
            <w:r w:rsidRPr="00EF413B">
              <w:t>4 bits</w:t>
            </w:r>
          </w:p>
        </w:tc>
        <w:tc>
          <w:tcPr>
            <w:tcW w:w="2639" w:type="dxa"/>
            <w:shd w:val="clear" w:color="auto" w:fill="auto"/>
          </w:tcPr>
          <w:p w:rsidR="001E1617" w:rsidRPr="00EF413B" w:rsidRDefault="001E1617" w:rsidP="001872D9">
            <w:pPr>
              <w:pStyle w:val="B1"/>
              <w:ind w:left="0" w:firstLine="0"/>
              <w:jc w:val="both"/>
            </w:pPr>
            <w:r w:rsidRPr="00EF413B">
              <w:t>3</w:t>
            </w:r>
            <w:r>
              <w:t>2</w:t>
            </w:r>
            <w:r w:rsidRPr="00EF413B">
              <w:t xml:space="preserve"> bits</w:t>
            </w:r>
          </w:p>
        </w:tc>
        <w:tc>
          <w:tcPr>
            <w:tcW w:w="4384" w:type="dxa"/>
            <w:shd w:val="clear" w:color="auto" w:fill="auto"/>
          </w:tcPr>
          <w:p w:rsidR="001E1617" w:rsidRPr="00EF413B" w:rsidRDefault="001E1617" w:rsidP="001872D9">
            <w:pPr>
              <w:pStyle w:val="B1"/>
              <w:ind w:left="0" w:firstLine="0"/>
              <w:jc w:val="both"/>
            </w:pPr>
            <w:r>
              <w:t>104-584</w:t>
            </w:r>
            <w:r w:rsidRPr="00EF413B">
              <w:t xml:space="preserve"> bits</w:t>
            </w:r>
          </w:p>
        </w:tc>
      </w:tr>
      <w:tr w:rsidR="001E1617" w:rsidTr="001872D9">
        <w:trPr>
          <w:jc w:val="center"/>
        </w:trPr>
        <w:tc>
          <w:tcPr>
            <w:tcW w:w="1740" w:type="dxa"/>
            <w:shd w:val="clear" w:color="auto" w:fill="auto"/>
          </w:tcPr>
          <w:p w:rsidR="001E1617" w:rsidRPr="00EF413B" w:rsidRDefault="001E1617" w:rsidP="001872D9">
            <w:pPr>
              <w:pStyle w:val="B1"/>
              <w:ind w:left="0" w:firstLine="0"/>
              <w:jc w:val="both"/>
            </w:pPr>
            <w:r w:rsidRPr="00EF413B">
              <w:t>5 bits</w:t>
            </w:r>
          </w:p>
        </w:tc>
        <w:tc>
          <w:tcPr>
            <w:tcW w:w="2639" w:type="dxa"/>
            <w:shd w:val="clear" w:color="auto" w:fill="auto"/>
          </w:tcPr>
          <w:p w:rsidR="001E1617" w:rsidRPr="00EF413B" w:rsidRDefault="001E1617" w:rsidP="001872D9">
            <w:pPr>
              <w:pStyle w:val="B1"/>
              <w:ind w:left="0" w:firstLine="0"/>
              <w:jc w:val="both"/>
            </w:pPr>
            <w:r w:rsidRPr="00EF413B">
              <w:t>3</w:t>
            </w:r>
            <w:r>
              <w:t>2</w:t>
            </w:r>
            <w:r w:rsidRPr="00EF413B">
              <w:t xml:space="preserve"> bits</w:t>
            </w:r>
          </w:p>
        </w:tc>
        <w:tc>
          <w:tcPr>
            <w:tcW w:w="4384" w:type="dxa"/>
            <w:shd w:val="clear" w:color="auto" w:fill="auto"/>
          </w:tcPr>
          <w:p w:rsidR="001E1617" w:rsidRPr="00EF413B" w:rsidRDefault="001E1617" w:rsidP="001872D9">
            <w:pPr>
              <w:pStyle w:val="B1"/>
              <w:ind w:left="0" w:firstLine="0"/>
              <w:jc w:val="both"/>
            </w:pPr>
            <w:r>
              <w:t>104-1096</w:t>
            </w:r>
            <w:r w:rsidRPr="00EF413B">
              <w:t xml:space="preserve"> bits</w:t>
            </w:r>
          </w:p>
        </w:tc>
      </w:tr>
    </w:tbl>
    <w:p w:rsidR="001E1617" w:rsidRDefault="001E1617" w:rsidP="001E1617">
      <w:pPr>
        <w:pStyle w:val="B1"/>
        <w:ind w:left="0" w:firstLine="0"/>
        <w:jc w:val="both"/>
      </w:pPr>
    </w:p>
    <w:p w:rsidR="001E1617" w:rsidRDefault="001E1617" w:rsidP="001E1617">
      <w:pPr>
        <w:pStyle w:val="B1"/>
        <w:spacing w:after="0"/>
        <w:ind w:left="0" w:firstLine="0"/>
        <w:jc w:val="both"/>
      </w:pPr>
    </w:p>
    <w:p w:rsidR="001E1617" w:rsidRDefault="001E1617" w:rsidP="001E1617">
      <w:pPr>
        <w:pStyle w:val="B1"/>
        <w:spacing w:after="0"/>
        <w:ind w:left="0" w:firstLine="0"/>
        <w:jc w:val="both"/>
      </w:pPr>
      <w:r>
        <w:t>If very few bits are used for the TBS, e.g. 2 bits, this will give a very course granular</w:t>
      </w:r>
      <w:r w:rsidR="00396E63">
        <w:t>ity, a steps size of 128 bits in the range</w:t>
      </w:r>
      <w:r>
        <w:t xml:space="preserve"> ~100-500 bits, which will lead to transmission of a high degree of padding bits and therefore the number of rep</w:t>
      </w:r>
      <w:r w:rsidR="00396E63">
        <w:t>etitions required could in worst</w:t>
      </w:r>
      <w:r>
        <w:t xml:space="preserve"> case increase by 36% (see Figure 2 in </w:t>
      </w:r>
      <w:r>
        <w:fldChar w:fldCharType="begin"/>
      </w:r>
      <w:r>
        <w:instrText xml:space="preserve"> REF _Ref430100336 \r \h </w:instrText>
      </w:r>
      <w:r>
        <w:fldChar w:fldCharType="separate"/>
      </w:r>
      <w:r w:rsidR="00892A2F">
        <w:t>[13]</w:t>
      </w:r>
      <w:r>
        <w:fldChar w:fldCharType="end"/>
      </w:r>
      <w:r>
        <w:t>). Therefore since TBS can neve</w:t>
      </w:r>
      <w:r w:rsidR="00396E63">
        <w:t>r be determined implicitly and one</w:t>
      </w:r>
      <w:r>
        <w:t xml:space="preserve"> additional bit</w:t>
      </w:r>
      <w:r w:rsidR="00396E63">
        <w:t xml:space="preserve"> is a marginal cost for including future extension (</w:t>
      </w:r>
      <w:r>
        <w:t>such</w:t>
      </w:r>
      <w:r w:rsidR="00396E63">
        <w:t xml:space="preserve"> as jointly coded transmissions)</w:t>
      </w:r>
      <w:r>
        <w:t xml:space="preserve"> we propose the following:</w:t>
      </w:r>
    </w:p>
    <w:p w:rsidR="00820B0D" w:rsidRDefault="00820B0D" w:rsidP="001E1617">
      <w:pPr>
        <w:pStyle w:val="B1"/>
        <w:spacing w:after="0"/>
        <w:ind w:left="0" w:firstLine="0"/>
        <w:jc w:val="both"/>
      </w:pPr>
    </w:p>
    <w:p w:rsidR="001E1617" w:rsidRDefault="001E1617" w:rsidP="001E1617">
      <w:pPr>
        <w:pStyle w:val="B1"/>
        <w:spacing w:after="0"/>
        <w:ind w:left="0" w:firstLine="0"/>
        <w:jc w:val="both"/>
      </w:pPr>
    </w:p>
    <w:p w:rsidR="001E1617" w:rsidRDefault="001E1617" w:rsidP="006602E1">
      <w:pPr>
        <w:pStyle w:val="Proposal"/>
        <w:tabs>
          <w:tab w:val="clear" w:pos="8250"/>
        </w:tabs>
        <w:ind w:left="1701" w:hanging="1701"/>
      </w:pPr>
      <w:r>
        <w:t xml:space="preserve"> </w:t>
      </w:r>
      <w:bookmarkStart w:id="63" w:name="_Toc430965449"/>
      <w:bookmarkStart w:id="64" w:name="_Toc430965556"/>
      <w:bookmarkStart w:id="65" w:name="_Toc430965566"/>
      <w:bookmarkStart w:id="66" w:name="_Toc430973419"/>
      <w:bookmarkStart w:id="67" w:name="_Toc430981430"/>
      <w:bookmarkStart w:id="68" w:name="_Toc434611702"/>
      <w:bookmarkStart w:id="69" w:name="_Toc434611824"/>
      <w:bookmarkStart w:id="70" w:name="_Toc434611958"/>
      <w:bookmarkStart w:id="71" w:name="_Toc434611966"/>
      <w:bookmarkStart w:id="72" w:name="_Toc434620382"/>
      <w:r>
        <w:t xml:space="preserve">Adopt a </w:t>
      </w:r>
      <w:r w:rsidR="00FD7BC6">
        <w:t>4</w:t>
      </w:r>
      <w:r>
        <w:t xml:space="preserve"> bit TBS indication for SIB1bis in MIB.</w:t>
      </w:r>
      <w:bookmarkEnd w:id="63"/>
      <w:bookmarkEnd w:id="64"/>
      <w:bookmarkEnd w:id="65"/>
      <w:bookmarkEnd w:id="66"/>
      <w:bookmarkEnd w:id="67"/>
      <w:r w:rsidR="00FD7BC6">
        <w:t xml:space="preserve"> TBS values to be determined by RAN1.</w:t>
      </w:r>
      <w:bookmarkEnd w:id="68"/>
      <w:bookmarkEnd w:id="69"/>
      <w:bookmarkEnd w:id="70"/>
      <w:bookmarkEnd w:id="71"/>
      <w:bookmarkEnd w:id="72"/>
    </w:p>
    <w:p w:rsidR="001E1617" w:rsidRDefault="001E1617" w:rsidP="0052769E">
      <w:pPr>
        <w:pStyle w:val="BodyText"/>
        <w:spacing w:before="120"/>
      </w:pPr>
    </w:p>
    <w:p w:rsidR="001E1617" w:rsidRPr="00847178" w:rsidRDefault="001E1617" w:rsidP="008A0ED3">
      <w:pPr>
        <w:pStyle w:val="Heading2"/>
      </w:pPr>
      <w:r w:rsidRPr="00847178">
        <w:t>Indication of available downlink subframes</w:t>
      </w:r>
    </w:p>
    <w:p w:rsidR="001E1617" w:rsidRPr="003B4456" w:rsidRDefault="001E1617" w:rsidP="001E1617">
      <w:pPr>
        <w:pStyle w:val="BodyText"/>
        <w:spacing w:after="240"/>
        <w:rPr>
          <w:lang w:val="en-US"/>
        </w:rPr>
      </w:pPr>
      <w:r>
        <w:t>Since it in</w:t>
      </w:r>
      <w:r w:rsidR="00884F04">
        <w:t xml:space="preserve"> </w:t>
      </w:r>
      <w:r w:rsidR="00884F04">
        <w:fldChar w:fldCharType="begin"/>
      </w:r>
      <w:r w:rsidR="00884F04">
        <w:instrText xml:space="preserve"> REF _Ref433799538 \r \h </w:instrText>
      </w:r>
      <w:r w:rsidR="00884F04">
        <w:fldChar w:fldCharType="separate"/>
      </w:r>
      <w:r w:rsidR="00892A2F">
        <w:t>[12]</w:t>
      </w:r>
      <w:r w:rsidR="00884F04">
        <w:fldChar w:fldCharType="end"/>
      </w:r>
      <w:r>
        <w:t xml:space="preserve"> has been agreed that: “</w:t>
      </w:r>
      <w:r w:rsidRPr="006374C4">
        <w:rPr>
          <w:lang w:val="en-US"/>
        </w:rPr>
        <w:t>For subframes containing PDSCH carrying SIB1bis, the starting OFDM symbol of SIB1bis reception is a fixed value predefined in the specification</w:t>
      </w:r>
      <w:r>
        <w:t xml:space="preserve">. </w:t>
      </w:r>
      <w:r w:rsidRPr="006374C4">
        <w:rPr>
          <w:lang w:val="en-US"/>
        </w:rPr>
        <w:t>The fixed value is equal to the maximum CFI value for the given system configuration (TDD/FDD, system bandwidth)</w:t>
      </w:r>
      <w:r>
        <w:rPr>
          <w:lang w:val="en-US"/>
        </w:rPr>
        <w:t>”, the CFI-region does not have to be indicated in MIB.</w:t>
      </w:r>
    </w:p>
    <w:p w:rsidR="0052769E" w:rsidRDefault="008A0ED3" w:rsidP="008A0ED3">
      <w:pPr>
        <w:pStyle w:val="Heading2"/>
      </w:pPr>
      <w:r>
        <w:t>S</w:t>
      </w:r>
      <w:r w:rsidR="0052769E">
        <w:t>ummary</w:t>
      </w:r>
    </w:p>
    <w:p w:rsidR="0052769E" w:rsidRDefault="0052769E" w:rsidP="0052769E">
      <w:pPr>
        <w:pStyle w:val="BodyText"/>
        <w:spacing w:after="240"/>
      </w:pPr>
      <w:r>
        <w:t xml:space="preserve">In conclusion, we prefer to use MIB spare bits only for the indication of low complexity support, i.e. branching out extensions for the MTC feature, and for the transport block size of SIB1bis. This is summarized in the table below. </w:t>
      </w:r>
    </w:p>
    <w:p w:rsidR="00A617DA" w:rsidRDefault="00A617DA" w:rsidP="0052769E">
      <w:pPr>
        <w:pStyle w:val="BodyText"/>
        <w:spacing w:after="240"/>
      </w:pPr>
    </w:p>
    <w:p w:rsidR="0052769E" w:rsidRDefault="0052769E" w:rsidP="0052769E">
      <w:pPr>
        <w:pStyle w:val="Caption"/>
        <w:keepNext/>
      </w:pPr>
      <w:r>
        <w:t xml:space="preserve">Table </w:t>
      </w:r>
      <w:r>
        <w:fldChar w:fldCharType="begin"/>
      </w:r>
      <w:r>
        <w:instrText xml:space="preserve"> SEQ Table \* ARABIC </w:instrText>
      </w:r>
      <w:r>
        <w:fldChar w:fldCharType="separate"/>
      </w:r>
      <w:r w:rsidR="00892A2F">
        <w:rPr>
          <w:noProof/>
        </w:rPr>
        <w:t>1</w:t>
      </w:r>
      <w:r>
        <w:fldChar w:fldCharType="end"/>
      </w:r>
      <w:r>
        <w:t xml:space="preserve">: </w:t>
      </w:r>
      <w:r w:rsidRPr="00D46B06">
        <w:t>New information fields in Rel-13 MIB</w:t>
      </w:r>
      <w:r>
        <w:t>.</w:t>
      </w:r>
    </w:p>
    <w:tbl>
      <w:tblPr>
        <w:tblW w:w="0" w:type="auto"/>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785"/>
        <w:gridCol w:w="2416"/>
        <w:gridCol w:w="3059"/>
      </w:tblGrid>
      <w:tr w:rsidR="0052769E" w:rsidTr="00961DF8">
        <w:trPr>
          <w:trHeight w:val="418"/>
          <w:jc w:val="center"/>
        </w:trPr>
        <w:tc>
          <w:tcPr>
            <w:tcW w:w="3785" w:type="dxa"/>
            <w:shd w:val="clear" w:color="auto" w:fill="D9D9D9"/>
            <w:vAlign w:val="center"/>
          </w:tcPr>
          <w:p w:rsidR="0052769E" w:rsidRPr="00D810DE" w:rsidRDefault="0052769E" w:rsidP="00961DF8">
            <w:pPr>
              <w:pStyle w:val="B1"/>
              <w:ind w:left="0" w:firstLine="0"/>
              <w:rPr>
                <w:b/>
              </w:rPr>
            </w:pPr>
            <w:r>
              <w:rPr>
                <w:b/>
              </w:rPr>
              <w:t>New</w:t>
            </w:r>
            <w:r w:rsidRPr="00D810DE">
              <w:rPr>
                <w:b/>
              </w:rPr>
              <w:t xml:space="preserve"> MIB field</w:t>
            </w:r>
          </w:p>
        </w:tc>
        <w:tc>
          <w:tcPr>
            <w:tcW w:w="2416" w:type="dxa"/>
            <w:shd w:val="clear" w:color="auto" w:fill="D9D9D9"/>
            <w:vAlign w:val="center"/>
          </w:tcPr>
          <w:p w:rsidR="0052769E" w:rsidRPr="00D810DE" w:rsidRDefault="0052769E" w:rsidP="00961DF8">
            <w:pPr>
              <w:pStyle w:val="B1"/>
              <w:ind w:left="0" w:firstLine="0"/>
              <w:rPr>
                <w:b/>
              </w:rPr>
            </w:pPr>
            <w:r>
              <w:rPr>
                <w:b/>
              </w:rPr>
              <w:t>Size</w:t>
            </w:r>
          </w:p>
        </w:tc>
        <w:tc>
          <w:tcPr>
            <w:tcW w:w="3059" w:type="dxa"/>
            <w:shd w:val="clear" w:color="auto" w:fill="D9D9D9"/>
          </w:tcPr>
          <w:p w:rsidR="0052769E" w:rsidRDefault="0052769E" w:rsidP="00961DF8">
            <w:pPr>
              <w:pStyle w:val="B1"/>
              <w:ind w:left="0" w:firstLine="0"/>
              <w:rPr>
                <w:b/>
              </w:rPr>
            </w:pPr>
            <w:r>
              <w:rPr>
                <w:b/>
              </w:rPr>
              <w:t>Comment</w:t>
            </w:r>
          </w:p>
        </w:tc>
      </w:tr>
      <w:tr w:rsidR="0052769E" w:rsidTr="00961DF8">
        <w:trPr>
          <w:trHeight w:val="418"/>
          <w:jc w:val="center"/>
        </w:trPr>
        <w:tc>
          <w:tcPr>
            <w:tcW w:w="3785" w:type="dxa"/>
            <w:shd w:val="clear" w:color="auto" w:fill="auto"/>
            <w:vAlign w:val="center"/>
          </w:tcPr>
          <w:p w:rsidR="0052769E" w:rsidRPr="00EF413B" w:rsidRDefault="0052769E" w:rsidP="00961DF8">
            <w:pPr>
              <w:pStyle w:val="B1"/>
              <w:ind w:left="0" w:firstLine="0"/>
            </w:pPr>
            <w:r>
              <w:t>Rel-13 LC support</w:t>
            </w:r>
          </w:p>
        </w:tc>
        <w:tc>
          <w:tcPr>
            <w:tcW w:w="2416" w:type="dxa"/>
            <w:shd w:val="clear" w:color="auto" w:fill="auto"/>
            <w:vAlign w:val="center"/>
          </w:tcPr>
          <w:p w:rsidR="0052769E" w:rsidRPr="00EF413B" w:rsidRDefault="0052769E" w:rsidP="00961DF8">
            <w:pPr>
              <w:pStyle w:val="B1"/>
              <w:ind w:left="0" w:firstLine="0"/>
            </w:pPr>
            <w:r>
              <w:t>1 bit</w:t>
            </w:r>
          </w:p>
        </w:tc>
        <w:tc>
          <w:tcPr>
            <w:tcW w:w="3059" w:type="dxa"/>
          </w:tcPr>
          <w:p w:rsidR="0052769E" w:rsidRDefault="0052769E" w:rsidP="00961DF8">
            <w:pPr>
              <w:pStyle w:val="B1"/>
              <w:ind w:left="0" w:firstLine="0"/>
            </w:pPr>
            <w:r>
              <w:t xml:space="preserve">Also serves as branching indicator (see Appendix </w:t>
            </w:r>
            <w:r>
              <w:fldChar w:fldCharType="begin"/>
            </w:r>
            <w:r>
              <w:instrText xml:space="preserve"> REF _Ref430780374 \r \h </w:instrText>
            </w:r>
            <w:r>
              <w:fldChar w:fldCharType="separate"/>
            </w:r>
            <w:r w:rsidR="00892A2F">
              <w:t>4.2</w:t>
            </w:r>
            <w:r>
              <w:fldChar w:fldCharType="end"/>
            </w:r>
            <w:r>
              <w:t>)</w:t>
            </w:r>
          </w:p>
        </w:tc>
      </w:tr>
      <w:tr w:rsidR="0052769E" w:rsidTr="00961DF8">
        <w:trPr>
          <w:trHeight w:val="433"/>
          <w:jc w:val="center"/>
        </w:trPr>
        <w:tc>
          <w:tcPr>
            <w:tcW w:w="3785" w:type="dxa"/>
            <w:tcBorders>
              <w:bottom w:val="single" w:sz="6" w:space="0" w:color="000000"/>
            </w:tcBorders>
            <w:shd w:val="clear" w:color="auto" w:fill="auto"/>
            <w:vAlign w:val="center"/>
          </w:tcPr>
          <w:p w:rsidR="0052769E" w:rsidRPr="00EF413B" w:rsidRDefault="0052769E" w:rsidP="00961DF8">
            <w:pPr>
              <w:pStyle w:val="B1"/>
              <w:ind w:left="0" w:firstLine="0"/>
            </w:pPr>
            <w:r>
              <w:t>SIB1bis TBS</w:t>
            </w:r>
          </w:p>
        </w:tc>
        <w:tc>
          <w:tcPr>
            <w:tcW w:w="2416" w:type="dxa"/>
            <w:tcBorders>
              <w:bottom w:val="single" w:sz="6" w:space="0" w:color="000000"/>
            </w:tcBorders>
            <w:shd w:val="clear" w:color="auto" w:fill="auto"/>
            <w:vAlign w:val="center"/>
          </w:tcPr>
          <w:p w:rsidR="0052769E" w:rsidRPr="00EF413B" w:rsidRDefault="000F7E48" w:rsidP="00961DF8">
            <w:pPr>
              <w:pStyle w:val="B1"/>
              <w:ind w:left="0" w:firstLine="0"/>
            </w:pPr>
            <w:r>
              <w:t>4</w:t>
            </w:r>
            <w:r w:rsidR="0052769E" w:rsidRPr="00EF413B">
              <w:t xml:space="preserve"> bits</w:t>
            </w:r>
            <w:r w:rsidR="0052769E">
              <w:t xml:space="preserve"> </w:t>
            </w:r>
          </w:p>
        </w:tc>
        <w:tc>
          <w:tcPr>
            <w:tcW w:w="3059" w:type="dxa"/>
            <w:tcBorders>
              <w:bottom w:val="single" w:sz="6" w:space="0" w:color="000000"/>
            </w:tcBorders>
          </w:tcPr>
          <w:p w:rsidR="0052769E" w:rsidRDefault="00820B0D" w:rsidP="00820B0D">
            <w:pPr>
              <w:pStyle w:val="B1"/>
              <w:ind w:left="0" w:firstLine="0"/>
            </w:pPr>
            <w:r>
              <w:t>May s</w:t>
            </w:r>
            <w:r w:rsidR="0052769E">
              <w:t xml:space="preserve">upport a 104-1096 bit TBS with </w:t>
            </w:r>
            <w:r>
              <w:t>various step sizes if needed</w:t>
            </w:r>
            <w:r w:rsidR="0052769E">
              <w:t xml:space="preserve">. </w:t>
            </w:r>
          </w:p>
        </w:tc>
      </w:tr>
      <w:bookmarkEnd w:id="32"/>
    </w:tbl>
    <w:p w:rsidR="00634A10" w:rsidRDefault="00634A10" w:rsidP="00634A10">
      <w:pPr>
        <w:pStyle w:val="B1"/>
        <w:spacing w:after="240"/>
        <w:jc w:val="both"/>
        <w:rPr>
          <w:lang w:eastAsia="zh-CN"/>
        </w:rPr>
      </w:pPr>
    </w:p>
    <w:p w:rsidR="00820B0D" w:rsidRDefault="00820B0D" w:rsidP="00634A10">
      <w:pPr>
        <w:pStyle w:val="B1"/>
        <w:spacing w:after="240"/>
        <w:jc w:val="both"/>
        <w:rPr>
          <w:lang w:eastAsia="zh-CN"/>
        </w:rPr>
      </w:pPr>
    </w:p>
    <w:p w:rsidR="00C01F33" w:rsidRPr="00CE0424" w:rsidRDefault="00C01F33" w:rsidP="00CE0424">
      <w:pPr>
        <w:pStyle w:val="Heading1"/>
      </w:pPr>
      <w:r w:rsidRPr="00CE0424">
        <w:t>Conclusion</w:t>
      </w:r>
    </w:p>
    <w:p w:rsidR="00960846" w:rsidRDefault="00FA7258" w:rsidP="00213A4E">
      <w:pPr>
        <w:pStyle w:val="BodyText"/>
      </w:pPr>
      <w:r>
        <w:t xml:space="preserve">In this contribution we have discussed the </w:t>
      </w:r>
      <w:r w:rsidR="00213A4E">
        <w:t>MIB content</w:t>
      </w:r>
      <w:r>
        <w:t xml:space="preserve"> for </w:t>
      </w:r>
      <w:r>
        <w:rPr>
          <w:rFonts w:eastAsia="Malgun Gothic" w:cs="Arial"/>
          <w:lang w:val="en-US" w:eastAsia="ko-KR"/>
        </w:rPr>
        <w:t xml:space="preserve">Rel-13 low complexity and/or </w:t>
      </w:r>
      <w:r w:rsidR="00100619">
        <w:rPr>
          <w:rFonts w:eastAsia="Malgun Gothic" w:cs="Arial"/>
          <w:lang w:val="en-US" w:eastAsia="ko-KR"/>
        </w:rPr>
        <w:t>coverage enhanced</w:t>
      </w:r>
      <w:r w:rsidR="003B308B">
        <w:rPr>
          <w:rFonts w:eastAsia="Malgun Gothic" w:cs="Arial"/>
          <w:lang w:val="en-US" w:eastAsia="ko-KR"/>
        </w:rPr>
        <w:t xml:space="preserve"> </w:t>
      </w:r>
      <w:r>
        <w:rPr>
          <w:rFonts w:eastAsia="Malgun Gothic" w:cs="Arial"/>
          <w:lang w:val="en-US" w:eastAsia="ko-KR"/>
        </w:rPr>
        <w:t>UEs.</w:t>
      </w:r>
      <w:r w:rsidR="00960846">
        <w:rPr>
          <w:rFonts w:eastAsia="Malgun Gothic" w:cs="Arial"/>
          <w:lang w:val="en-US" w:eastAsia="ko-KR"/>
        </w:rPr>
        <w:t xml:space="preserve"> We have the following observations:</w:t>
      </w:r>
    </w:p>
    <w:p w:rsidR="00960846" w:rsidRDefault="00960846" w:rsidP="00960846">
      <w:pPr>
        <w:pStyle w:val="BodyText"/>
      </w:pPr>
    </w:p>
    <w:p w:rsidR="00960846" w:rsidRDefault="00960846" w:rsidP="00960846">
      <w:pPr>
        <w:pStyle w:val="TOC1"/>
        <w:jc w:val="both"/>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r>
      <w:r>
        <w:t>Coverage enhancement for SIB1bis is achieved by combining repetitions across multiple 80 ms transmission periods.</w:t>
      </w:r>
    </w:p>
    <w:p w:rsidR="00960846" w:rsidRDefault="00960846" w:rsidP="00960846">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SIB1bis transmission period does not have to be indicated in MIB.</w:t>
      </w:r>
    </w:p>
    <w:p w:rsidR="00960846" w:rsidRDefault="00960846" w:rsidP="00960846">
      <w:pPr>
        <w:pStyle w:val="BodyText"/>
      </w:pPr>
      <w:r>
        <w:rPr>
          <w:b/>
          <w:bCs/>
        </w:rPr>
        <w:fldChar w:fldCharType="end"/>
      </w:r>
    </w:p>
    <w:p w:rsidR="00213A4E" w:rsidRDefault="001A45C9" w:rsidP="00960846">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960846">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rsidR="00820B0D" w:rsidRDefault="00820B0D" w:rsidP="00960846">
      <w:pPr>
        <w:pStyle w:val="BodyText"/>
      </w:pPr>
    </w:p>
    <w:p w:rsidR="00960846" w:rsidRDefault="00960846" w:rsidP="00960846">
      <w:pPr>
        <w:pStyle w:val="TOC1"/>
        <w:jc w:val="both"/>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t>Proposal 1</w:t>
      </w:r>
      <w:r>
        <w:rPr>
          <w:rFonts w:asciiTheme="minorHAnsi" w:eastAsiaTheme="minorEastAsia" w:hAnsiTheme="minorHAnsi" w:cstheme="minorBidi"/>
          <w:b w:val="0"/>
          <w:sz w:val="22"/>
          <w:lang w:eastAsia="en-US"/>
        </w:rPr>
        <w:tab/>
      </w:r>
      <w:r>
        <w:t xml:space="preserve">To allow cells that do not support the Rel-13 LC/CE feature to make use of the </w:t>
      </w:r>
      <w:r w:rsidRPr="00965F64">
        <w:rPr>
          <w:i/>
        </w:rPr>
        <w:t>k</w:t>
      </w:r>
      <w:r>
        <w:t xml:space="preserve"> spare bits utilized by the Rel-13 LC/CE extension, the first of the </w:t>
      </w:r>
      <w:r w:rsidRPr="00965F64">
        <w:rPr>
          <w:i/>
        </w:rPr>
        <w:t>k</w:t>
      </w:r>
      <w:r>
        <w:t xml:space="preserve"> bits (i.e. the “LC UE support” field) acts as branching indicator.</w:t>
      </w:r>
    </w:p>
    <w:p w:rsidR="00960846" w:rsidRDefault="00960846" w:rsidP="00960846">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Support for coverage enhancement is indicated implicitly in SIB1bis</w:t>
      </w:r>
    </w:p>
    <w:p w:rsidR="00960846" w:rsidRDefault="00960846" w:rsidP="00960846">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Schedule SIB1bis every 20 ms in subframe #5 for every radio frame for which SFN mod 1 = 0 to maintain a reasonable balance between system overhead and acquisition time.</w:t>
      </w:r>
    </w:p>
    <w:p w:rsidR="00960846" w:rsidRDefault="00960846" w:rsidP="00960846">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duration over which the content of SIB1bis cannot change is fixed in the specification, i.e. 80 ms.</w:t>
      </w:r>
    </w:p>
    <w:p w:rsidR="00960846" w:rsidRDefault="00960846" w:rsidP="00960846">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No MIB spare bits are used to configure frequency hopping and frequency hopping for SIB1bis is implicitly enabled if system BW </w:t>
      </w:r>
      <w:r w:rsidRPr="00965F64">
        <w:rPr>
          <w:i/>
          <w:iCs/>
        </w:rPr>
        <w:t xml:space="preserve">≥ </w:t>
      </w:r>
      <w:r w:rsidRPr="00965F64">
        <w:rPr>
          <w:iCs/>
        </w:rPr>
        <w:t>X MHz, where X is up to RAN1 to decide.</w:t>
      </w:r>
    </w:p>
    <w:p w:rsidR="00960846" w:rsidRDefault="00960846" w:rsidP="00960846">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Adopt a 4 bit TBS indication for SIB1bis in MIB. TBS values to be determined by RAN1.</w:t>
      </w:r>
    </w:p>
    <w:p w:rsidR="001A45C9" w:rsidRPr="00CE0424" w:rsidRDefault="00960846" w:rsidP="00960846">
      <w:pPr>
        <w:pStyle w:val="BodyText"/>
      </w:pPr>
      <w:r>
        <w:rPr>
          <w:bCs/>
          <w:noProof/>
          <w:szCs w:val="22"/>
          <w:lang w:val="en-US"/>
        </w:rPr>
        <w:fldChar w:fldCharType="end"/>
      </w:r>
    </w:p>
    <w:p w:rsidR="001A45C9" w:rsidRPr="00CE0424" w:rsidRDefault="001A45C9" w:rsidP="00A871DD">
      <w:pPr>
        <w:rPr>
          <w:b/>
          <w:bCs/>
        </w:rPr>
      </w:pPr>
    </w:p>
    <w:p w:rsidR="00F507D1" w:rsidRPr="00CE0424" w:rsidRDefault="00F507D1" w:rsidP="00CE0424">
      <w:pPr>
        <w:pStyle w:val="Heading1"/>
      </w:pPr>
      <w:bookmarkStart w:id="73" w:name="_In-sequence_SDU_delivery"/>
      <w:bookmarkEnd w:id="73"/>
      <w:r w:rsidRPr="00CE0424">
        <w:t>References</w:t>
      </w:r>
    </w:p>
    <w:bookmarkStart w:id="74" w:name="_Ref387394383"/>
    <w:bookmarkStart w:id="75" w:name="_Ref410310040"/>
    <w:bookmarkStart w:id="76" w:name="_Ref174151459"/>
    <w:bookmarkStart w:id="77" w:name="_Ref189809556"/>
    <w:p w:rsidR="002E01D6" w:rsidRDefault="006E3DAB" w:rsidP="002E01D6">
      <w:pPr>
        <w:pStyle w:val="Reference"/>
      </w:pPr>
      <w:r>
        <w:fldChar w:fldCharType="begin"/>
      </w:r>
      <w:r>
        <w:instrText xml:space="preserve"> HYPERLINK "http://www.3gpp.org/ftp/tsg_ran/TSG_RAN/TSGR_67/Docs/RP-150492.zip" </w:instrText>
      </w:r>
      <w:r>
        <w:fldChar w:fldCharType="separate"/>
      </w:r>
      <w:r w:rsidRPr="002D5FBA">
        <w:rPr>
          <w:rStyle w:val="Hyperlink"/>
          <w:rFonts w:cs="Arial"/>
        </w:rPr>
        <w:t>RP-150492</w:t>
      </w:r>
      <w:r>
        <w:fldChar w:fldCharType="end"/>
      </w:r>
      <w:r>
        <w:t xml:space="preserve">, </w:t>
      </w:r>
      <w:r w:rsidR="00040E64" w:rsidRPr="00040E64">
        <w:t>"</w:t>
      </w:r>
      <w:r w:rsidRPr="00E02324">
        <w:t>Revised WI: Further LTE Physical Layer Enhancements for MTC</w:t>
      </w:r>
      <w:r w:rsidR="00040E64" w:rsidRPr="00040E64">
        <w:t>"</w:t>
      </w:r>
      <w:bookmarkEnd w:id="74"/>
      <w:r w:rsidR="002E01D6" w:rsidRPr="002D03FF">
        <w:t>, Ericsson</w:t>
      </w:r>
      <w:bookmarkEnd w:id="75"/>
    </w:p>
    <w:p w:rsidR="00D21FF6" w:rsidRDefault="00D21FF6" w:rsidP="00D21FF6">
      <w:pPr>
        <w:pStyle w:val="Reference"/>
      </w:pPr>
      <w:bookmarkStart w:id="78" w:name="_Ref406594038"/>
      <w:bookmarkEnd w:id="76"/>
      <w:bookmarkEnd w:id="77"/>
      <w:r>
        <w:t>3GPP TS 36.331, Evolved Universal Terrestrial Radio Access (E-UTRA); Radio Resource Control (RRC) Protocol specification.</w:t>
      </w:r>
      <w:bookmarkEnd w:id="78"/>
    </w:p>
    <w:p w:rsidR="00C105A5" w:rsidRDefault="00C105A5" w:rsidP="00C105A5">
      <w:pPr>
        <w:pStyle w:val="Reference"/>
      </w:pPr>
      <w:bookmarkStart w:id="79" w:name="_Ref425241809"/>
      <w:r>
        <w:t xml:space="preserve">3GPP TS 36.300. </w:t>
      </w:r>
      <w:r w:rsidRPr="00C105A5">
        <w:t>Evolved Universal Terrestrial Radio Access (E-UTRA) and Evolved Universal Terrestrial Radio Access Network (E-UTRAN); Overall description; Stage 2</w:t>
      </w:r>
      <w:r>
        <w:t>.</w:t>
      </w:r>
      <w:bookmarkEnd w:id="79"/>
    </w:p>
    <w:p w:rsidR="0040456C" w:rsidRDefault="0040456C" w:rsidP="003E7974">
      <w:pPr>
        <w:pStyle w:val="Reference"/>
      </w:pPr>
      <w:bookmarkStart w:id="80" w:name="_Ref418759873"/>
      <w:r w:rsidRPr="003E7974">
        <w:lastRenderedPageBreak/>
        <w:t>R2-15</w:t>
      </w:r>
      <w:r w:rsidR="003E7974" w:rsidRPr="003E7974">
        <w:t>3719</w:t>
      </w:r>
      <w:r w:rsidRPr="00584C5C">
        <w:t xml:space="preserve">, </w:t>
      </w:r>
      <w:r w:rsidRPr="00040E64">
        <w:t>"</w:t>
      </w:r>
      <w:r w:rsidR="00373F93" w:rsidRPr="00373F93">
        <w:t>SI update mechanism for Rel-13 low complexity and coverage enhanced UEs</w:t>
      </w:r>
      <w:r w:rsidRPr="00040E64">
        <w:t>"</w:t>
      </w:r>
      <w:r w:rsidRPr="00584C5C">
        <w:t>, Ericsson</w:t>
      </w:r>
      <w:bookmarkEnd w:id="80"/>
    </w:p>
    <w:bookmarkStart w:id="81" w:name="_Ref426701837"/>
    <w:p w:rsidR="000D2C2B" w:rsidRDefault="002065CC" w:rsidP="000D2C2B">
      <w:pPr>
        <w:pStyle w:val="Reference"/>
      </w:pPr>
      <w:r>
        <w:fldChar w:fldCharType="begin"/>
      </w:r>
      <w:r>
        <w:instrText xml:space="preserve"> HYPERLINK "http://www.3gpp.org/ftp/tsg_ran/WG1_RL1/TSGR1_81/Docs/R1-152511.zip" </w:instrText>
      </w:r>
      <w:r>
        <w:fldChar w:fldCharType="separate"/>
      </w:r>
      <w:r w:rsidR="000D2C2B" w:rsidRPr="002065CC">
        <w:rPr>
          <w:rStyle w:val="Hyperlink"/>
        </w:rPr>
        <w:t>R1-152511</w:t>
      </w:r>
      <w:r>
        <w:fldChar w:fldCharType="end"/>
      </w:r>
      <w:r w:rsidR="000D2C2B">
        <w:t xml:space="preserve">, </w:t>
      </w:r>
      <w:r w:rsidR="000D2C2B" w:rsidRPr="00040E64">
        <w:t>"</w:t>
      </w:r>
      <w:r w:rsidR="000D2C2B" w:rsidRPr="000D2C2B">
        <w:t>SIB link performance for MTC</w:t>
      </w:r>
      <w:r w:rsidR="000D2C2B" w:rsidRPr="00040E64">
        <w:t>"</w:t>
      </w:r>
      <w:r w:rsidR="000D2C2B">
        <w:t>, Ericsson</w:t>
      </w:r>
      <w:bookmarkEnd w:id="81"/>
    </w:p>
    <w:p w:rsidR="00D21FF6" w:rsidRDefault="00D21FF6" w:rsidP="00D21FF6">
      <w:pPr>
        <w:pStyle w:val="Reference"/>
      </w:pPr>
      <w:bookmarkStart w:id="82" w:name="_Ref425236104"/>
      <w:bookmarkStart w:id="83" w:name="_Ref418583428"/>
      <w:r>
        <w:t>RAN2#89 Chairman’s notes</w:t>
      </w:r>
      <w:bookmarkEnd w:id="82"/>
    </w:p>
    <w:p w:rsidR="00D21FF6" w:rsidRDefault="00D21FF6" w:rsidP="00D21FF6">
      <w:pPr>
        <w:pStyle w:val="Reference"/>
      </w:pPr>
      <w:bookmarkStart w:id="84" w:name="_Ref425236111"/>
      <w:r>
        <w:t>RAN2#89bis Chairman’s notes</w:t>
      </w:r>
      <w:bookmarkEnd w:id="84"/>
    </w:p>
    <w:p w:rsidR="00F71295" w:rsidRDefault="00D21FF6" w:rsidP="0040456C">
      <w:pPr>
        <w:pStyle w:val="Reference"/>
      </w:pPr>
      <w:bookmarkStart w:id="85" w:name="_Ref425236122"/>
      <w:r>
        <w:t>RAN2#90 Chairman’s notes</w:t>
      </w:r>
      <w:bookmarkEnd w:id="83"/>
      <w:bookmarkEnd w:id="85"/>
    </w:p>
    <w:p w:rsidR="003C1072" w:rsidRDefault="003C1072" w:rsidP="003C1072">
      <w:pPr>
        <w:pStyle w:val="Reference"/>
      </w:pPr>
      <w:bookmarkStart w:id="86" w:name="_Ref430842263"/>
      <w:r>
        <w:t>RAN2#91 Chairman’s notes</w:t>
      </w:r>
      <w:bookmarkEnd w:id="86"/>
    </w:p>
    <w:p w:rsidR="00CD2024" w:rsidRDefault="00CD2024" w:rsidP="00CD2024">
      <w:pPr>
        <w:pStyle w:val="Reference"/>
      </w:pPr>
      <w:bookmarkStart w:id="87" w:name="_Ref433800451"/>
      <w:r>
        <w:t>RAN2#91bis Chairman’s notes</w:t>
      </w:r>
      <w:bookmarkEnd w:id="87"/>
    </w:p>
    <w:p w:rsidR="0040456C" w:rsidRDefault="0040456C" w:rsidP="0040456C">
      <w:pPr>
        <w:pStyle w:val="Reference"/>
      </w:pPr>
      <w:bookmarkStart w:id="88" w:name="_Ref425236441"/>
      <w:r>
        <w:t>RAN1#81 Chairman’s notes</w:t>
      </w:r>
      <w:bookmarkEnd w:id="88"/>
      <w:r>
        <w:t xml:space="preserve"> </w:t>
      </w:r>
    </w:p>
    <w:p w:rsidR="00B2671A" w:rsidRDefault="00B2671A" w:rsidP="0040456C">
      <w:pPr>
        <w:pStyle w:val="Reference"/>
      </w:pPr>
      <w:bookmarkStart w:id="89" w:name="_Ref433799538"/>
      <w:r>
        <w:t>RAN1#82bis</w:t>
      </w:r>
      <w:r w:rsidRPr="00B2671A">
        <w:t xml:space="preserve"> </w:t>
      </w:r>
      <w:r>
        <w:t>Chairman’s notes</w:t>
      </w:r>
      <w:bookmarkEnd w:id="89"/>
    </w:p>
    <w:p w:rsidR="007E1943" w:rsidRDefault="007E1943" w:rsidP="007E1943">
      <w:pPr>
        <w:pStyle w:val="Reference"/>
      </w:pPr>
      <w:bookmarkStart w:id="90" w:name="_Ref430100336"/>
      <w:r w:rsidRPr="007E1943">
        <w:t>R2-151553</w:t>
      </w:r>
      <w:r>
        <w:t>, “</w:t>
      </w:r>
      <w:r w:rsidRPr="007E1943">
        <w:t>SIB for Rel-13 low complexity and coverage enhanced UEs</w:t>
      </w:r>
      <w:r>
        <w:t>”, Ericsson.</w:t>
      </w:r>
      <w:bookmarkEnd w:id="90"/>
    </w:p>
    <w:p w:rsidR="00843F13" w:rsidRDefault="00843F13" w:rsidP="007E1943">
      <w:pPr>
        <w:pStyle w:val="Reference"/>
      </w:pPr>
      <w:bookmarkStart w:id="91" w:name="_Ref430158985"/>
      <w:r w:rsidRPr="008F6B54">
        <w:t>R2-153277</w:t>
      </w:r>
      <w:r w:rsidR="001E5EA2">
        <w:t>,</w:t>
      </w:r>
      <w:r w:rsidR="001E5EA2">
        <w:tab/>
      </w:r>
      <w:r>
        <w:t>“</w:t>
      </w:r>
      <w:r w:rsidRPr="008F6B54">
        <w:t>Email discussion summary report on [90#23</w:t>
      </w:r>
      <w:proofErr w:type="gramStart"/>
      <w:r w:rsidRPr="008F6B54">
        <w:t>][</w:t>
      </w:r>
      <w:proofErr w:type="gramEnd"/>
      <w:r w:rsidRPr="008F6B54">
        <w:t>LTE/MTCe2] SIB Contents</w:t>
      </w:r>
      <w:r>
        <w:t>”, Intel Corporation.</w:t>
      </w:r>
      <w:bookmarkEnd w:id="91"/>
    </w:p>
    <w:p w:rsidR="00FE1B3C" w:rsidRDefault="00EB76DA" w:rsidP="00FE1B3C">
      <w:pPr>
        <w:pStyle w:val="Reference"/>
      </w:pPr>
      <w:bookmarkStart w:id="92" w:name="_Ref430853444"/>
      <w:r w:rsidRPr="0080492A">
        <w:t>R1-154489</w:t>
      </w:r>
      <w:r>
        <w:t>, “</w:t>
      </w:r>
      <w:r w:rsidRPr="008F4DC0">
        <w:t xml:space="preserve">Performance of </w:t>
      </w:r>
      <w:r>
        <w:t xml:space="preserve">Time Diversity </w:t>
      </w:r>
      <w:r w:rsidRPr="008F4DC0">
        <w:t xml:space="preserve">for PUSCH </w:t>
      </w:r>
      <w:r>
        <w:t xml:space="preserve">and HARQ Impacts”, </w:t>
      </w:r>
      <w:r w:rsidRPr="008F4DC0">
        <w:t>Sierra Wireless</w:t>
      </w:r>
      <w:r>
        <w:t>.</w:t>
      </w:r>
      <w:bookmarkEnd w:id="92"/>
    </w:p>
    <w:p w:rsidR="00FE1B3C" w:rsidRDefault="00FE1B3C" w:rsidP="00FE1B3C">
      <w:pPr>
        <w:pStyle w:val="Reference"/>
      </w:pPr>
      <w:r>
        <w:t>R2-15</w:t>
      </w:r>
      <w:r w:rsidR="001E5EA2">
        <w:t>4785</w:t>
      </w:r>
      <w:r>
        <w:t>, "</w:t>
      </w:r>
      <w:r w:rsidRPr="00FE1B3C">
        <w:t>MIB for Rel-13 low complexity and coverage enhanced UEs</w:t>
      </w:r>
      <w:r>
        <w:t>", Ericsson</w:t>
      </w:r>
    </w:p>
    <w:p w:rsidR="009A793C" w:rsidRDefault="009A793C" w:rsidP="009A793C">
      <w:pPr>
        <w:pStyle w:val="Reference"/>
      </w:pPr>
      <w:r>
        <w:t>R2-15</w:t>
      </w:r>
      <w:r w:rsidR="001E5EA2">
        <w:t>4787</w:t>
      </w:r>
      <w:r>
        <w:t>, "</w:t>
      </w:r>
      <w:r w:rsidRPr="009A793C">
        <w:t>System information update, valueTag and validity time</w:t>
      </w:r>
      <w:r>
        <w:t>", Ericsson</w:t>
      </w:r>
    </w:p>
    <w:p w:rsidR="001652D4" w:rsidRDefault="001652D4" w:rsidP="001652D4">
      <w:pPr>
        <w:pStyle w:val="Reference"/>
      </w:pPr>
      <w:bookmarkStart w:id="93" w:name="_Ref433802865"/>
      <w:r>
        <w:t xml:space="preserve">3GPP TS 36.133, Evolved Universal Terrestrial Radio Access (E-UTRA), </w:t>
      </w:r>
      <w:r>
        <w:rPr>
          <w:rFonts w:cs="v4.2.0"/>
        </w:rPr>
        <w:t xml:space="preserve">Requirements for support of radio resource management, </w:t>
      </w:r>
      <w:r w:rsidRPr="001652D4">
        <w:rPr>
          <w:rFonts w:cs="v4.2.0"/>
        </w:rPr>
        <w:t>V13.1.0 (2015-09)</w:t>
      </w:r>
      <w:r>
        <w:rPr>
          <w:rFonts w:cs="v4.2.0"/>
        </w:rPr>
        <w:t>.</w:t>
      </w:r>
      <w:bookmarkEnd w:id="93"/>
    </w:p>
    <w:p w:rsidR="0054719D" w:rsidRDefault="0054719D" w:rsidP="00FE1B3C">
      <w:pPr>
        <w:pStyle w:val="Reference"/>
        <w:numPr>
          <w:ilvl w:val="0"/>
          <w:numId w:val="0"/>
        </w:numPr>
        <w:ind w:left="567"/>
      </w:pPr>
    </w:p>
    <w:p w:rsidR="0054719D" w:rsidRDefault="0054719D" w:rsidP="00FE1B3C">
      <w:pPr>
        <w:pStyle w:val="Heading2"/>
      </w:pPr>
      <w:r>
        <w:t>Appendix</w:t>
      </w:r>
    </w:p>
    <w:p w:rsidR="00784988" w:rsidRDefault="007F16AE" w:rsidP="00FE1B3C">
      <w:pPr>
        <w:pStyle w:val="Heading3"/>
      </w:pPr>
      <w:bookmarkStart w:id="94" w:name="_Ref430850744"/>
      <w:r>
        <w:t>SIB1bis size e</w:t>
      </w:r>
      <w:r w:rsidR="00784988">
        <w:t>stimate</w:t>
      </w:r>
      <w:bookmarkEnd w:id="94"/>
    </w:p>
    <w:p w:rsidR="0054719D" w:rsidRDefault="0054719D" w:rsidP="00FE1B3C">
      <w:r>
        <w:t>In the table below the minimum and maximum size estimates are shown for SIB1.</w:t>
      </w:r>
    </w:p>
    <w:p w:rsidR="0054719D" w:rsidRDefault="0054719D" w:rsidP="00FE1B3C">
      <w:pPr>
        <w:pStyle w:val="Caption"/>
        <w:keepNext/>
      </w:pPr>
      <w:r>
        <w:t xml:space="preserve">Table </w:t>
      </w:r>
      <w:r w:rsidR="00E25A0C">
        <w:t>1</w:t>
      </w:r>
      <w:r>
        <w:t>: Size estimate for size range of legacy SIB1</w:t>
      </w:r>
      <w:r w:rsidR="001A3EE4">
        <w:t xml:space="preserve"> (bits)</w:t>
      </w:r>
      <w:r>
        <w:t>.</w:t>
      </w:r>
    </w:p>
    <w:tbl>
      <w:tblPr>
        <w:tblW w:w="0" w:type="auto"/>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1040"/>
        <w:gridCol w:w="1920"/>
      </w:tblGrid>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SIB1</w:t>
            </w:r>
          </w:p>
        </w:tc>
        <w:tc>
          <w:tcPr>
            <w:tcW w:w="1040" w:type="dxa"/>
            <w:shd w:val="clear" w:color="auto" w:fill="auto"/>
            <w:noWrap/>
            <w:hideMark/>
          </w:tcPr>
          <w:p w:rsidR="0054719D" w:rsidRPr="005B3B1F" w:rsidRDefault="0054719D">
            <w:pPr>
              <w:rPr>
                <w:b/>
                <w:bCs/>
              </w:rPr>
            </w:pPr>
            <w:r w:rsidRPr="005B3B1F">
              <w:rPr>
                <w:b/>
                <w:bCs/>
              </w:rPr>
              <w:t> </w:t>
            </w:r>
          </w:p>
        </w:tc>
        <w:tc>
          <w:tcPr>
            <w:tcW w:w="1920" w:type="dxa"/>
            <w:shd w:val="clear" w:color="auto" w:fill="auto"/>
            <w:noWrap/>
            <w:hideMark/>
          </w:tcPr>
          <w:p w:rsidR="0054719D" w:rsidRPr="005B3B1F" w:rsidRDefault="0054719D">
            <w:pPr>
              <w:rPr>
                <w:b/>
                <w:bCs/>
              </w:rPr>
            </w:pPr>
            <w:r w:rsidRPr="005B3B1F">
              <w:rPr>
                <w:b/>
                <w:bCs/>
              </w:rPr>
              <w:t> </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Information element</w:t>
            </w:r>
          </w:p>
        </w:tc>
        <w:tc>
          <w:tcPr>
            <w:tcW w:w="1040" w:type="dxa"/>
            <w:shd w:val="clear" w:color="auto" w:fill="auto"/>
            <w:noWrap/>
            <w:hideMark/>
          </w:tcPr>
          <w:p w:rsidR="0054719D" w:rsidRPr="005B3B1F" w:rsidRDefault="0054719D" w:rsidP="0054719D">
            <w:pPr>
              <w:rPr>
                <w:b/>
                <w:bCs/>
              </w:rPr>
            </w:pPr>
            <w:r w:rsidRPr="005B3B1F">
              <w:rPr>
                <w:b/>
                <w:bCs/>
              </w:rPr>
              <w:t>Min size</w:t>
            </w:r>
          </w:p>
        </w:tc>
        <w:tc>
          <w:tcPr>
            <w:tcW w:w="1920" w:type="dxa"/>
            <w:shd w:val="clear" w:color="auto" w:fill="auto"/>
            <w:hideMark/>
          </w:tcPr>
          <w:p w:rsidR="0054719D" w:rsidRPr="005B3B1F" w:rsidRDefault="0054719D" w:rsidP="0054719D">
            <w:pPr>
              <w:rPr>
                <w:b/>
                <w:bCs/>
              </w:rPr>
            </w:pPr>
            <w:r w:rsidRPr="005B3B1F">
              <w:rPr>
                <w:b/>
                <w:bCs/>
              </w:rPr>
              <w:t>Max size</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proofErr w:type="spellStart"/>
            <w:r w:rsidRPr="005B3B1F">
              <w:rPr>
                <w:b/>
                <w:bCs/>
              </w:rPr>
              <w:t>cellAccessRelatedInfo</w:t>
            </w:r>
            <w:proofErr w:type="spellEnd"/>
          </w:p>
        </w:tc>
        <w:tc>
          <w:tcPr>
            <w:tcW w:w="1040" w:type="dxa"/>
            <w:shd w:val="clear" w:color="auto" w:fill="auto"/>
            <w:noWrap/>
            <w:hideMark/>
          </w:tcPr>
          <w:p w:rsidR="0054719D" w:rsidRPr="005B3B1F" w:rsidRDefault="0054719D" w:rsidP="0054719D">
            <w:pPr>
              <w:rPr>
                <w:b/>
                <w:bCs/>
              </w:rPr>
            </w:pPr>
            <w:r w:rsidRPr="005B3B1F">
              <w:rPr>
                <w:b/>
                <w:bCs/>
              </w:rPr>
              <w:t>72</w:t>
            </w:r>
          </w:p>
        </w:tc>
        <w:tc>
          <w:tcPr>
            <w:tcW w:w="1920" w:type="dxa"/>
            <w:shd w:val="clear" w:color="auto" w:fill="auto"/>
            <w:noWrap/>
            <w:hideMark/>
          </w:tcPr>
          <w:p w:rsidR="0054719D" w:rsidRPr="005B3B1F" w:rsidRDefault="0054719D" w:rsidP="0054719D">
            <w:pPr>
              <w:rPr>
                <w:b/>
                <w:bCs/>
              </w:rPr>
            </w:pPr>
            <w:r w:rsidRPr="005B3B1F">
              <w:rPr>
                <w:b/>
                <w:bCs/>
              </w:rPr>
              <w:t>224</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plmn-IdentityList</w:t>
            </w:r>
            <w:proofErr w:type="spellEnd"/>
            <w:r w:rsidRPr="0054719D">
              <w:t xml:space="preserve"> (1-6)</w:t>
            </w:r>
          </w:p>
        </w:tc>
        <w:tc>
          <w:tcPr>
            <w:tcW w:w="1040" w:type="dxa"/>
            <w:shd w:val="clear" w:color="auto" w:fill="auto"/>
            <w:noWrap/>
            <w:hideMark/>
          </w:tcPr>
          <w:p w:rsidR="0054719D" w:rsidRPr="0054719D" w:rsidRDefault="0054719D" w:rsidP="0054719D">
            <w:r w:rsidRPr="0054719D">
              <w:t>25</w:t>
            </w:r>
          </w:p>
        </w:tc>
        <w:tc>
          <w:tcPr>
            <w:tcW w:w="1920" w:type="dxa"/>
            <w:shd w:val="clear" w:color="auto" w:fill="auto"/>
            <w:noWrap/>
            <w:hideMark/>
          </w:tcPr>
          <w:p w:rsidR="0054719D" w:rsidRPr="0054719D" w:rsidRDefault="0054719D" w:rsidP="0054719D">
            <w:r w:rsidRPr="0054719D">
              <w:t>150</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trackingAreaCode</w:t>
            </w:r>
            <w:proofErr w:type="spellEnd"/>
          </w:p>
        </w:tc>
        <w:tc>
          <w:tcPr>
            <w:tcW w:w="1040" w:type="dxa"/>
            <w:shd w:val="clear" w:color="auto" w:fill="auto"/>
            <w:noWrap/>
            <w:hideMark/>
          </w:tcPr>
          <w:p w:rsidR="0054719D" w:rsidRPr="0054719D" w:rsidRDefault="0054719D" w:rsidP="0054719D">
            <w:r w:rsidRPr="0054719D">
              <w:t>16</w:t>
            </w:r>
          </w:p>
        </w:tc>
        <w:tc>
          <w:tcPr>
            <w:tcW w:w="1920" w:type="dxa"/>
            <w:shd w:val="clear" w:color="auto" w:fill="auto"/>
            <w:noWrap/>
            <w:hideMark/>
          </w:tcPr>
          <w:p w:rsidR="0054719D" w:rsidRPr="0054719D" w:rsidRDefault="0054719D" w:rsidP="0054719D">
            <w:r w:rsidRPr="0054719D">
              <w:t>16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cellIdentity</w:t>
            </w:r>
            <w:proofErr w:type="spellEnd"/>
          </w:p>
        </w:tc>
        <w:tc>
          <w:tcPr>
            <w:tcW w:w="1040" w:type="dxa"/>
            <w:shd w:val="clear" w:color="auto" w:fill="auto"/>
            <w:noWrap/>
            <w:hideMark/>
          </w:tcPr>
          <w:p w:rsidR="0054719D" w:rsidRPr="0054719D" w:rsidRDefault="0054719D" w:rsidP="0054719D">
            <w:r w:rsidRPr="0054719D">
              <w:t>28</w:t>
            </w:r>
          </w:p>
        </w:tc>
        <w:tc>
          <w:tcPr>
            <w:tcW w:w="1920" w:type="dxa"/>
            <w:shd w:val="clear" w:color="auto" w:fill="auto"/>
            <w:noWrap/>
            <w:hideMark/>
          </w:tcPr>
          <w:p w:rsidR="0054719D" w:rsidRPr="0054719D" w:rsidRDefault="0054719D" w:rsidP="0054719D">
            <w:r w:rsidRPr="0054719D">
              <w:t>28</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cellBarred</w:t>
            </w:r>
            <w:proofErr w:type="spellEnd"/>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intraFreqReselection</w:t>
            </w:r>
            <w:proofErr w:type="spellEnd"/>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csg</w:t>
            </w:r>
            <w:proofErr w:type="spellEnd"/>
            <w:r w:rsidRPr="0054719D">
              <w:t>-Indication</w:t>
            </w:r>
          </w:p>
        </w:tc>
        <w:tc>
          <w:tcPr>
            <w:tcW w:w="1040" w:type="dxa"/>
            <w:shd w:val="clear" w:color="auto" w:fill="auto"/>
            <w:noWrap/>
            <w:hideMark/>
          </w:tcPr>
          <w:p w:rsidR="0054719D" w:rsidRPr="0054719D" w:rsidRDefault="0054719D" w:rsidP="0054719D">
            <w:r w:rsidRPr="0054719D">
              <w:t>1</w:t>
            </w:r>
          </w:p>
        </w:tc>
        <w:tc>
          <w:tcPr>
            <w:tcW w:w="1920" w:type="dxa"/>
            <w:shd w:val="clear" w:color="auto" w:fill="auto"/>
            <w:noWrap/>
            <w:hideMark/>
          </w:tcPr>
          <w:p w:rsidR="0054719D" w:rsidRPr="0054719D" w:rsidRDefault="0054719D" w:rsidP="0054719D">
            <w:r w:rsidRPr="0054719D">
              <w:t>1</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w:t>
            </w:r>
            <w:proofErr w:type="spellStart"/>
            <w:r w:rsidRPr="0054719D">
              <w:t>csg</w:t>
            </w:r>
            <w:proofErr w:type="spellEnd"/>
            <w:r w:rsidRPr="0054719D">
              <w:t>-Identity*</w:t>
            </w:r>
          </w:p>
        </w:tc>
        <w:tc>
          <w:tcPr>
            <w:tcW w:w="1040" w:type="dxa"/>
            <w:shd w:val="clear" w:color="auto" w:fill="auto"/>
            <w:noWrap/>
            <w:hideMark/>
          </w:tcPr>
          <w:p w:rsidR="0054719D" w:rsidRPr="0054719D" w:rsidRDefault="0054719D" w:rsidP="0054719D">
            <w:r w:rsidRPr="0054719D">
              <w:t>0</w:t>
            </w:r>
          </w:p>
        </w:tc>
        <w:tc>
          <w:tcPr>
            <w:tcW w:w="1920" w:type="dxa"/>
            <w:shd w:val="clear" w:color="auto" w:fill="auto"/>
            <w:noWrap/>
            <w:hideMark/>
          </w:tcPr>
          <w:p w:rsidR="0054719D" w:rsidRPr="0054719D" w:rsidRDefault="0054719D" w:rsidP="0054719D">
            <w:r w:rsidRPr="0054719D">
              <w:t>27</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proofErr w:type="spellStart"/>
            <w:r w:rsidRPr="005B3B1F">
              <w:rPr>
                <w:b/>
                <w:bCs/>
              </w:rPr>
              <w:t>cellSelectionInfo</w:t>
            </w:r>
            <w:proofErr w:type="spellEnd"/>
          </w:p>
        </w:tc>
        <w:tc>
          <w:tcPr>
            <w:tcW w:w="1040" w:type="dxa"/>
            <w:shd w:val="clear" w:color="auto" w:fill="auto"/>
            <w:noWrap/>
            <w:hideMark/>
          </w:tcPr>
          <w:p w:rsidR="0054719D" w:rsidRPr="005B3B1F" w:rsidRDefault="0054719D" w:rsidP="0054719D">
            <w:pPr>
              <w:rPr>
                <w:b/>
                <w:bCs/>
              </w:rPr>
            </w:pPr>
            <w:r w:rsidRPr="005B3B1F">
              <w:rPr>
                <w:b/>
                <w:bCs/>
              </w:rPr>
              <w:t>6</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&gt;q-</w:t>
            </w:r>
            <w:proofErr w:type="spellStart"/>
            <w:r w:rsidRPr="0054719D">
              <w:t>RxLevMin</w:t>
            </w:r>
            <w:proofErr w:type="spellEnd"/>
          </w:p>
        </w:tc>
        <w:tc>
          <w:tcPr>
            <w:tcW w:w="1040" w:type="dxa"/>
            <w:shd w:val="clear" w:color="auto" w:fill="auto"/>
            <w:noWrap/>
            <w:hideMark/>
          </w:tcPr>
          <w:p w:rsidR="0054719D" w:rsidRPr="0054719D" w:rsidRDefault="0054719D" w:rsidP="0054719D">
            <w:r w:rsidRPr="0054719D">
              <w:t>6</w:t>
            </w:r>
          </w:p>
        </w:tc>
        <w:tc>
          <w:tcPr>
            <w:tcW w:w="1920" w:type="dxa"/>
            <w:shd w:val="clear" w:color="auto" w:fill="auto"/>
            <w:noWrap/>
            <w:hideMark/>
          </w:tcPr>
          <w:p w:rsidR="0054719D" w:rsidRPr="0054719D" w:rsidRDefault="0054719D" w:rsidP="0054719D">
            <w:r w:rsidRPr="0054719D">
              <w:t>6</w:t>
            </w:r>
          </w:p>
        </w:tc>
      </w:tr>
      <w:tr w:rsidR="0054719D" w:rsidRPr="0054719D" w:rsidTr="00FE1B3C">
        <w:trPr>
          <w:trHeight w:val="300"/>
          <w:jc w:val="center"/>
        </w:trPr>
        <w:tc>
          <w:tcPr>
            <w:tcW w:w="3009" w:type="dxa"/>
            <w:shd w:val="clear" w:color="auto" w:fill="auto"/>
            <w:noWrap/>
            <w:hideMark/>
          </w:tcPr>
          <w:p w:rsidR="0054719D" w:rsidRPr="0054719D" w:rsidRDefault="0054719D">
            <w:r w:rsidRPr="0054719D">
              <w:t>&gt;q-</w:t>
            </w:r>
            <w:proofErr w:type="spellStart"/>
            <w:r w:rsidRPr="0054719D">
              <w:t>RxLevMinOffset</w:t>
            </w:r>
            <w:proofErr w:type="spellEnd"/>
            <w:r w:rsidRPr="0054719D">
              <w:t>*</w:t>
            </w:r>
          </w:p>
        </w:tc>
        <w:tc>
          <w:tcPr>
            <w:tcW w:w="1040" w:type="dxa"/>
            <w:shd w:val="clear" w:color="auto" w:fill="auto"/>
            <w:noWrap/>
            <w:hideMark/>
          </w:tcPr>
          <w:p w:rsidR="0054719D" w:rsidRPr="0054719D" w:rsidRDefault="0054719D" w:rsidP="0054719D">
            <w:r w:rsidRPr="0054719D">
              <w:t>0</w:t>
            </w:r>
          </w:p>
        </w:tc>
        <w:tc>
          <w:tcPr>
            <w:tcW w:w="1920" w:type="dxa"/>
            <w:shd w:val="clear" w:color="auto" w:fill="auto"/>
            <w:noWrap/>
            <w:hideMark/>
          </w:tcPr>
          <w:p w:rsidR="0054719D" w:rsidRPr="0054719D" w:rsidRDefault="0054719D" w:rsidP="0054719D">
            <w:r w:rsidRPr="0054719D">
              <w:t>3</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p-Max*</w:t>
            </w:r>
          </w:p>
        </w:tc>
        <w:tc>
          <w:tcPr>
            <w:tcW w:w="1040" w:type="dxa"/>
            <w:shd w:val="clear" w:color="auto" w:fill="auto"/>
            <w:noWrap/>
            <w:hideMark/>
          </w:tcPr>
          <w:p w:rsidR="0054719D" w:rsidRPr="005B3B1F" w:rsidRDefault="0054719D" w:rsidP="0054719D">
            <w:pPr>
              <w:rPr>
                <w:b/>
                <w:bCs/>
              </w:rPr>
            </w:pPr>
            <w:r w:rsidRPr="005B3B1F">
              <w:rPr>
                <w:b/>
                <w:bCs/>
              </w:rPr>
              <w:t>0</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proofErr w:type="spellStart"/>
            <w:r w:rsidRPr="005B3B1F">
              <w:rPr>
                <w:b/>
                <w:bCs/>
              </w:rPr>
              <w:t>freqBandIndicator</w:t>
            </w:r>
            <w:proofErr w:type="spellEnd"/>
          </w:p>
        </w:tc>
        <w:tc>
          <w:tcPr>
            <w:tcW w:w="1040" w:type="dxa"/>
            <w:shd w:val="clear" w:color="auto" w:fill="auto"/>
            <w:noWrap/>
            <w:hideMark/>
          </w:tcPr>
          <w:p w:rsidR="0054719D" w:rsidRPr="005B3B1F" w:rsidRDefault="0054719D" w:rsidP="0054719D">
            <w:pPr>
              <w:rPr>
                <w:b/>
                <w:bCs/>
              </w:rPr>
            </w:pPr>
            <w:r w:rsidRPr="005B3B1F">
              <w:rPr>
                <w:b/>
                <w:bCs/>
              </w:rPr>
              <w:t>6</w:t>
            </w:r>
          </w:p>
        </w:tc>
        <w:tc>
          <w:tcPr>
            <w:tcW w:w="1920" w:type="dxa"/>
            <w:shd w:val="clear" w:color="auto" w:fill="auto"/>
            <w:noWrap/>
            <w:hideMark/>
          </w:tcPr>
          <w:p w:rsidR="0054719D" w:rsidRPr="005B3B1F" w:rsidRDefault="0054719D" w:rsidP="0054719D">
            <w:pPr>
              <w:rPr>
                <w:b/>
                <w:bCs/>
              </w:rPr>
            </w:pPr>
            <w:r w:rsidRPr="005B3B1F">
              <w:rPr>
                <w:b/>
                <w:bCs/>
              </w:rPr>
              <w:t>6</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schedulingInfoList (1-32)</w:t>
            </w:r>
          </w:p>
        </w:tc>
        <w:tc>
          <w:tcPr>
            <w:tcW w:w="1040" w:type="dxa"/>
            <w:shd w:val="clear" w:color="auto" w:fill="auto"/>
            <w:noWrap/>
            <w:hideMark/>
          </w:tcPr>
          <w:p w:rsidR="0054719D" w:rsidRPr="005B3B1F" w:rsidRDefault="0054719D" w:rsidP="0054719D">
            <w:pPr>
              <w:rPr>
                <w:b/>
                <w:bCs/>
              </w:rPr>
            </w:pPr>
            <w:r w:rsidRPr="005B3B1F">
              <w:rPr>
                <w:b/>
                <w:bCs/>
              </w:rPr>
              <w:t>7</w:t>
            </w:r>
          </w:p>
        </w:tc>
        <w:tc>
          <w:tcPr>
            <w:tcW w:w="1920" w:type="dxa"/>
            <w:shd w:val="clear" w:color="auto" w:fill="auto"/>
            <w:noWrap/>
            <w:hideMark/>
          </w:tcPr>
          <w:p w:rsidR="0054719D" w:rsidRPr="005B3B1F" w:rsidRDefault="0054719D" w:rsidP="0054719D">
            <w:pPr>
              <w:rPr>
                <w:b/>
                <w:bCs/>
              </w:rPr>
            </w:pPr>
            <w:r w:rsidRPr="005B3B1F">
              <w:rPr>
                <w:b/>
                <w:bCs/>
              </w:rPr>
              <w:t>40</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proofErr w:type="spellStart"/>
            <w:r w:rsidRPr="005B3B1F">
              <w:rPr>
                <w:b/>
                <w:bCs/>
              </w:rPr>
              <w:t>tdd</w:t>
            </w:r>
            <w:proofErr w:type="spellEnd"/>
            <w:r w:rsidRPr="005B3B1F">
              <w:rPr>
                <w:b/>
                <w:bCs/>
              </w:rPr>
              <w:t>-Config*</w:t>
            </w:r>
          </w:p>
        </w:tc>
        <w:tc>
          <w:tcPr>
            <w:tcW w:w="1040" w:type="dxa"/>
            <w:shd w:val="clear" w:color="auto" w:fill="auto"/>
            <w:noWrap/>
            <w:hideMark/>
          </w:tcPr>
          <w:p w:rsidR="0054719D" w:rsidRPr="005B3B1F" w:rsidRDefault="0054719D" w:rsidP="0054719D">
            <w:pPr>
              <w:rPr>
                <w:b/>
                <w:bCs/>
              </w:rPr>
            </w:pPr>
            <w:r w:rsidRPr="005B3B1F">
              <w:rPr>
                <w:b/>
                <w:bCs/>
              </w:rPr>
              <w:t>0</w:t>
            </w:r>
          </w:p>
        </w:tc>
        <w:tc>
          <w:tcPr>
            <w:tcW w:w="1920" w:type="dxa"/>
            <w:shd w:val="clear" w:color="auto" w:fill="auto"/>
            <w:noWrap/>
            <w:hideMark/>
          </w:tcPr>
          <w:p w:rsidR="0054719D" w:rsidRPr="005B3B1F" w:rsidRDefault="0054719D" w:rsidP="0054719D">
            <w:pPr>
              <w:rPr>
                <w:b/>
                <w:bCs/>
              </w:rPr>
            </w:pPr>
            <w:r w:rsidRPr="005B3B1F">
              <w:rPr>
                <w:b/>
                <w:bCs/>
              </w:rPr>
              <w:t>7</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lastRenderedPageBreak/>
              <w:t>si-WindowLength</w:t>
            </w:r>
          </w:p>
        </w:tc>
        <w:tc>
          <w:tcPr>
            <w:tcW w:w="1040" w:type="dxa"/>
            <w:shd w:val="clear" w:color="auto" w:fill="auto"/>
            <w:noWrap/>
            <w:hideMark/>
          </w:tcPr>
          <w:p w:rsidR="0054719D" w:rsidRPr="005B3B1F" w:rsidRDefault="0054719D" w:rsidP="0054719D">
            <w:pPr>
              <w:rPr>
                <w:b/>
                <w:bCs/>
              </w:rPr>
            </w:pPr>
            <w:r w:rsidRPr="005B3B1F">
              <w:rPr>
                <w:b/>
                <w:bCs/>
              </w:rPr>
              <w:t>3</w:t>
            </w:r>
          </w:p>
        </w:tc>
        <w:tc>
          <w:tcPr>
            <w:tcW w:w="1920" w:type="dxa"/>
            <w:shd w:val="clear" w:color="auto" w:fill="auto"/>
            <w:noWrap/>
            <w:hideMark/>
          </w:tcPr>
          <w:p w:rsidR="0054719D" w:rsidRPr="005B3B1F" w:rsidRDefault="0054719D" w:rsidP="0054719D">
            <w:pPr>
              <w:rPr>
                <w:b/>
                <w:bCs/>
              </w:rPr>
            </w:pPr>
            <w:r w:rsidRPr="005B3B1F">
              <w:rPr>
                <w:b/>
                <w:bCs/>
              </w:rPr>
              <w:t>3</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systemInfoValueTag</w:t>
            </w:r>
          </w:p>
        </w:tc>
        <w:tc>
          <w:tcPr>
            <w:tcW w:w="1040" w:type="dxa"/>
            <w:shd w:val="clear" w:color="auto" w:fill="auto"/>
            <w:noWrap/>
            <w:hideMark/>
          </w:tcPr>
          <w:p w:rsidR="0054719D" w:rsidRPr="005B3B1F" w:rsidRDefault="0054719D" w:rsidP="0054719D">
            <w:pPr>
              <w:rPr>
                <w:b/>
                <w:bCs/>
              </w:rPr>
            </w:pPr>
            <w:r w:rsidRPr="005B3B1F">
              <w:rPr>
                <w:b/>
                <w:bCs/>
              </w:rPr>
              <w:t>5</w:t>
            </w:r>
          </w:p>
        </w:tc>
        <w:tc>
          <w:tcPr>
            <w:tcW w:w="1920" w:type="dxa"/>
            <w:shd w:val="clear" w:color="auto" w:fill="auto"/>
            <w:noWrap/>
            <w:hideMark/>
          </w:tcPr>
          <w:p w:rsidR="0054719D" w:rsidRPr="005B3B1F" w:rsidRDefault="0054719D" w:rsidP="0054719D">
            <w:pPr>
              <w:rPr>
                <w:b/>
                <w:bCs/>
              </w:rPr>
            </w:pPr>
            <w:r w:rsidRPr="005B3B1F">
              <w:rPr>
                <w:b/>
                <w:bCs/>
              </w:rPr>
              <w:t>5</w:t>
            </w:r>
          </w:p>
        </w:tc>
      </w:tr>
      <w:tr w:rsidR="0054719D" w:rsidRPr="0054719D" w:rsidTr="00FE1B3C">
        <w:trPr>
          <w:trHeight w:val="300"/>
          <w:jc w:val="center"/>
        </w:trPr>
        <w:tc>
          <w:tcPr>
            <w:tcW w:w="3009" w:type="dxa"/>
            <w:shd w:val="clear" w:color="auto" w:fill="auto"/>
            <w:noWrap/>
            <w:hideMark/>
          </w:tcPr>
          <w:p w:rsidR="0054719D" w:rsidRPr="005B3B1F" w:rsidRDefault="0054719D">
            <w:pPr>
              <w:rPr>
                <w:b/>
                <w:bCs/>
              </w:rPr>
            </w:pPr>
            <w:r w:rsidRPr="005B3B1F">
              <w:rPr>
                <w:b/>
                <w:bCs/>
              </w:rPr>
              <w:t>Total size</w:t>
            </w:r>
          </w:p>
        </w:tc>
        <w:tc>
          <w:tcPr>
            <w:tcW w:w="1040" w:type="dxa"/>
            <w:shd w:val="clear" w:color="auto" w:fill="auto"/>
            <w:noWrap/>
            <w:hideMark/>
          </w:tcPr>
          <w:p w:rsidR="0054719D" w:rsidRPr="005B3B1F" w:rsidRDefault="0054719D" w:rsidP="0054719D">
            <w:pPr>
              <w:rPr>
                <w:b/>
                <w:bCs/>
              </w:rPr>
            </w:pPr>
            <w:r w:rsidRPr="005B3B1F">
              <w:rPr>
                <w:b/>
                <w:bCs/>
              </w:rPr>
              <w:t>99</w:t>
            </w:r>
          </w:p>
        </w:tc>
        <w:tc>
          <w:tcPr>
            <w:tcW w:w="1920" w:type="dxa"/>
            <w:shd w:val="clear" w:color="auto" w:fill="auto"/>
            <w:noWrap/>
            <w:hideMark/>
          </w:tcPr>
          <w:p w:rsidR="0054719D" w:rsidRPr="005B3B1F" w:rsidRDefault="0054719D" w:rsidP="0054719D">
            <w:pPr>
              <w:rPr>
                <w:b/>
                <w:bCs/>
              </w:rPr>
            </w:pPr>
            <w:r w:rsidRPr="005B3B1F">
              <w:rPr>
                <w:b/>
                <w:bCs/>
              </w:rPr>
              <w:t>297</w:t>
            </w:r>
          </w:p>
        </w:tc>
      </w:tr>
    </w:tbl>
    <w:p w:rsidR="0054719D" w:rsidRDefault="0054719D" w:rsidP="00E25A0C">
      <w:r>
        <w:t xml:space="preserve"> </w:t>
      </w:r>
    </w:p>
    <w:p w:rsidR="00784988" w:rsidRDefault="00784988" w:rsidP="00E25A0C">
      <w:pPr>
        <w:pStyle w:val="Heading3"/>
      </w:pPr>
      <w:r>
        <w:t>SIB1bis system resource overhead analysis</w:t>
      </w:r>
    </w:p>
    <w:p w:rsidR="007E1943" w:rsidRPr="007E1943" w:rsidRDefault="007E1943" w:rsidP="00E25A0C">
      <w:pPr>
        <w:ind w:left="720"/>
      </w:pPr>
      <w:proofErr w:type="gramStart"/>
      <w:r>
        <w:t>The below table shows the system overhead for different periodicity of the SIB1bis.</w:t>
      </w:r>
      <w:proofErr w:type="gramEnd"/>
      <w:r>
        <w:t xml:space="preserve"> In the calculations a 10 MHz system bandwidth, 3 </w:t>
      </w:r>
      <w:proofErr w:type="gramStart"/>
      <w:r>
        <w:t>symbol</w:t>
      </w:r>
      <w:proofErr w:type="gramEnd"/>
      <w:r>
        <w:t xml:space="preserve"> CFI and transmission over all 6 PRBs is assumed. 1 repetition would correspond to very good coverage, 30 repetitions to normal coverage according to </w:t>
      </w:r>
      <w:r>
        <w:fldChar w:fldCharType="begin"/>
      </w:r>
      <w:r>
        <w:instrText xml:space="preserve"> REF _Ref426701837 \r \h </w:instrText>
      </w:r>
      <w:r>
        <w:fldChar w:fldCharType="separate"/>
      </w:r>
      <w:r w:rsidR="00892A2F">
        <w:t>[5]</w:t>
      </w:r>
      <w:r>
        <w:fldChar w:fldCharType="end"/>
      </w:r>
      <w:r>
        <w:t xml:space="preserve">, and 120 repetitions to 15 dB enhanced coverage according to </w:t>
      </w:r>
      <w:r w:rsidR="00B20CFA">
        <w:fldChar w:fldCharType="begin"/>
      </w:r>
      <w:r w:rsidR="00B20CFA">
        <w:instrText xml:space="preserve"> REF _Ref430100336 \r \h </w:instrText>
      </w:r>
      <w:r w:rsidR="00B20CFA">
        <w:fldChar w:fldCharType="separate"/>
      </w:r>
      <w:r w:rsidR="00892A2F">
        <w:t>[13]</w:t>
      </w:r>
      <w:r w:rsidR="00B20CFA">
        <w:fldChar w:fldCharType="end"/>
      </w:r>
      <w:r w:rsidR="00B20CFA">
        <w:t>.</w:t>
      </w:r>
    </w:p>
    <w:p w:rsidR="00784988" w:rsidRDefault="00784988" w:rsidP="00E25A0C"/>
    <w:p w:rsidR="00A617DA" w:rsidRDefault="00A617DA" w:rsidP="00EF697B">
      <w:pPr>
        <w:pStyle w:val="Caption"/>
        <w:keepNext/>
      </w:pPr>
      <w:bookmarkStart w:id="95" w:name="_Ref433305092"/>
    </w:p>
    <w:p w:rsidR="00EF697B" w:rsidRDefault="00EF697B" w:rsidP="00EF697B">
      <w:pPr>
        <w:pStyle w:val="Caption"/>
        <w:keepNext/>
      </w:pPr>
      <w:proofErr w:type="gramStart"/>
      <w:r>
        <w:t xml:space="preserve">Table </w:t>
      </w:r>
      <w:r>
        <w:fldChar w:fldCharType="begin"/>
      </w:r>
      <w:r>
        <w:instrText xml:space="preserve"> SEQ Table \* ARABIC </w:instrText>
      </w:r>
      <w:r>
        <w:fldChar w:fldCharType="separate"/>
      </w:r>
      <w:r w:rsidR="00892A2F">
        <w:rPr>
          <w:noProof/>
        </w:rPr>
        <w:t>2</w:t>
      </w:r>
      <w:r>
        <w:fldChar w:fldCharType="end"/>
      </w:r>
      <w:bookmarkEnd w:id="95"/>
      <w:r>
        <w:t xml:space="preserve">: </w:t>
      </w:r>
      <w:r w:rsidRPr="00EE195E">
        <w:t>SIB1bis system overhead and accumulation time.</w:t>
      </w:r>
      <w:proofErr w:type="gramEnd"/>
    </w:p>
    <w:tbl>
      <w:tblPr>
        <w:tblW w:w="8920" w:type="dxa"/>
        <w:tblInd w:w="93" w:type="dxa"/>
        <w:tblLook w:val="04A0" w:firstRow="1" w:lastRow="0" w:firstColumn="1" w:lastColumn="0" w:noHBand="0" w:noVBand="1"/>
      </w:tblPr>
      <w:tblGrid>
        <w:gridCol w:w="1820"/>
        <w:gridCol w:w="1760"/>
        <w:gridCol w:w="960"/>
        <w:gridCol w:w="2140"/>
        <w:gridCol w:w="2240"/>
      </w:tblGrid>
      <w:tr w:rsidR="00EF697B" w:rsidRPr="00586651" w:rsidTr="003F6501">
        <w:trPr>
          <w:trHeight w:val="300"/>
        </w:trPr>
        <w:tc>
          <w:tcPr>
            <w:tcW w:w="1820" w:type="dxa"/>
            <w:tcBorders>
              <w:top w:val="single" w:sz="8" w:space="0" w:color="auto"/>
              <w:left w:val="single" w:sz="8" w:space="0" w:color="auto"/>
              <w:bottom w:val="single" w:sz="4" w:space="0" w:color="auto"/>
              <w:right w:val="nil"/>
            </w:tcBorders>
            <w:shd w:val="clear" w:color="000000" w:fill="EEECE1"/>
            <w:noWrap/>
            <w:vAlign w:val="center"/>
            <w:hideMark/>
          </w:tcPr>
          <w:p w:rsidR="00EF697B" w:rsidRPr="00586651" w:rsidRDefault="00EF697B" w:rsidP="00586651">
            <w:pPr>
              <w:overflowPunct/>
              <w:autoSpaceDE/>
              <w:autoSpaceDN/>
              <w:adjustRightInd/>
              <w:spacing w:after="0"/>
              <w:jc w:val="left"/>
              <w:textAlignment w:val="auto"/>
              <w:rPr>
                <w:rFonts w:ascii="Calibri" w:hAnsi="Calibri"/>
                <w:b/>
                <w:bCs/>
                <w:color w:val="000000"/>
                <w:sz w:val="22"/>
                <w:szCs w:val="22"/>
                <w:lang w:val="en-US" w:eastAsia="en-US"/>
              </w:rPr>
            </w:pPr>
            <w:r w:rsidRPr="00586651">
              <w:rPr>
                <w:rFonts w:ascii="Calibri" w:hAnsi="Calibri"/>
                <w:b/>
                <w:bCs/>
                <w:color w:val="000000"/>
                <w:sz w:val="22"/>
                <w:szCs w:val="22"/>
                <w:lang w:val="en-US" w:eastAsia="en-US"/>
              </w:rPr>
              <w:t>Nr of rep/80ms:</w:t>
            </w:r>
          </w:p>
        </w:tc>
        <w:tc>
          <w:tcPr>
            <w:tcW w:w="1760" w:type="dxa"/>
            <w:tcBorders>
              <w:top w:val="single" w:sz="8" w:space="0" w:color="auto"/>
              <w:left w:val="single" w:sz="4" w:space="0" w:color="auto"/>
              <w:bottom w:val="single" w:sz="4" w:space="0" w:color="auto"/>
              <w:right w:val="single" w:sz="4" w:space="0" w:color="auto"/>
            </w:tcBorders>
            <w:shd w:val="clear" w:color="000000" w:fill="EEECE1"/>
            <w:noWrap/>
            <w:vAlign w:val="center"/>
            <w:hideMark/>
          </w:tcPr>
          <w:p w:rsidR="00EF697B" w:rsidRPr="00586651" w:rsidRDefault="00EF697B" w:rsidP="00586651">
            <w:pPr>
              <w:overflowPunct/>
              <w:autoSpaceDE/>
              <w:autoSpaceDN/>
              <w:adjustRightInd/>
              <w:spacing w:after="0"/>
              <w:jc w:val="left"/>
              <w:textAlignment w:val="auto"/>
              <w:rPr>
                <w:rFonts w:ascii="Calibri" w:hAnsi="Calibri"/>
                <w:b/>
                <w:bCs/>
                <w:color w:val="000000"/>
                <w:sz w:val="22"/>
                <w:szCs w:val="22"/>
                <w:lang w:val="en-US" w:eastAsia="en-US"/>
              </w:rPr>
            </w:pPr>
            <w:r w:rsidRPr="00586651">
              <w:rPr>
                <w:rFonts w:ascii="Calibri" w:hAnsi="Calibri"/>
                <w:b/>
                <w:bCs/>
                <w:color w:val="000000"/>
                <w:sz w:val="22"/>
                <w:szCs w:val="22"/>
                <w:lang w:val="en-US" w:eastAsia="en-US"/>
              </w:rPr>
              <w:t>System OH [%]:</w:t>
            </w:r>
          </w:p>
        </w:tc>
        <w:tc>
          <w:tcPr>
            <w:tcW w:w="5340" w:type="dxa"/>
            <w:gridSpan w:val="3"/>
            <w:tcBorders>
              <w:top w:val="single" w:sz="8" w:space="0" w:color="auto"/>
              <w:left w:val="nil"/>
              <w:bottom w:val="single" w:sz="4" w:space="0" w:color="auto"/>
              <w:right w:val="single" w:sz="8" w:space="0" w:color="auto"/>
            </w:tcBorders>
            <w:shd w:val="clear" w:color="000000" w:fill="EEECE1"/>
            <w:noWrap/>
            <w:vAlign w:val="center"/>
            <w:hideMark/>
          </w:tcPr>
          <w:p w:rsidR="00EF697B" w:rsidRPr="00586651" w:rsidRDefault="00EF697B" w:rsidP="00E76587">
            <w:pPr>
              <w:overflowPunct/>
              <w:autoSpaceDE/>
              <w:autoSpaceDN/>
              <w:adjustRightInd/>
              <w:spacing w:after="0"/>
              <w:jc w:val="center"/>
              <w:textAlignment w:val="auto"/>
              <w:rPr>
                <w:rFonts w:ascii="Calibri" w:hAnsi="Calibri"/>
                <w:color w:val="000000"/>
                <w:sz w:val="22"/>
                <w:szCs w:val="22"/>
                <w:lang w:val="en-US" w:eastAsia="en-US"/>
              </w:rPr>
            </w:pPr>
            <w:r w:rsidRPr="00586651">
              <w:rPr>
                <w:rFonts w:ascii="Calibri" w:hAnsi="Calibri"/>
                <w:b/>
                <w:bCs/>
                <w:color w:val="000000"/>
                <w:sz w:val="22"/>
                <w:szCs w:val="22"/>
                <w:lang w:val="en-US" w:eastAsia="en-US"/>
              </w:rPr>
              <w:t>Accumulation time w. Different nr of reps:</w:t>
            </w:r>
          </w:p>
        </w:tc>
      </w:tr>
      <w:tr w:rsidR="00586651" w:rsidRPr="00586651" w:rsidTr="00586651">
        <w:trPr>
          <w:trHeight w:val="315"/>
        </w:trPr>
        <w:tc>
          <w:tcPr>
            <w:tcW w:w="1820" w:type="dxa"/>
            <w:tcBorders>
              <w:top w:val="nil"/>
              <w:left w:val="single" w:sz="8" w:space="0" w:color="auto"/>
              <w:bottom w:val="single" w:sz="8" w:space="0" w:color="auto"/>
              <w:right w:val="single" w:sz="4" w:space="0" w:color="auto"/>
            </w:tcBorders>
            <w:shd w:val="clear" w:color="000000" w:fill="EEECE1"/>
            <w:noWrap/>
            <w:vAlign w:val="bottom"/>
            <w:hideMark/>
          </w:tcPr>
          <w:p w:rsidR="00586651" w:rsidRPr="00586651" w:rsidRDefault="00586651" w:rsidP="00586651">
            <w:pPr>
              <w:overflowPunct/>
              <w:autoSpaceDE/>
              <w:autoSpaceDN/>
              <w:adjustRightInd/>
              <w:spacing w:after="0"/>
              <w:jc w:val="lef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 </w:t>
            </w:r>
          </w:p>
        </w:tc>
        <w:tc>
          <w:tcPr>
            <w:tcW w:w="1760" w:type="dxa"/>
            <w:tcBorders>
              <w:top w:val="nil"/>
              <w:left w:val="nil"/>
              <w:bottom w:val="single" w:sz="8" w:space="0" w:color="auto"/>
              <w:right w:val="nil"/>
            </w:tcBorders>
            <w:shd w:val="clear" w:color="000000" w:fill="EEECE1"/>
            <w:noWrap/>
            <w:vAlign w:val="bottom"/>
            <w:hideMark/>
          </w:tcPr>
          <w:p w:rsidR="00586651" w:rsidRPr="00586651" w:rsidRDefault="00586651" w:rsidP="00586651">
            <w:pPr>
              <w:overflowPunct/>
              <w:autoSpaceDE/>
              <w:autoSpaceDN/>
              <w:adjustRightInd/>
              <w:spacing w:after="0"/>
              <w:jc w:val="lef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 </w:t>
            </w:r>
          </w:p>
        </w:tc>
        <w:tc>
          <w:tcPr>
            <w:tcW w:w="960" w:type="dxa"/>
            <w:tcBorders>
              <w:top w:val="nil"/>
              <w:left w:val="single" w:sz="4" w:space="0" w:color="auto"/>
              <w:bottom w:val="single" w:sz="8" w:space="0" w:color="auto"/>
              <w:right w:val="single" w:sz="4" w:space="0" w:color="auto"/>
            </w:tcBorders>
            <w:shd w:val="clear" w:color="000000" w:fill="EEECE1"/>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w:t>
            </w:r>
          </w:p>
        </w:tc>
        <w:tc>
          <w:tcPr>
            <w:tcW w:w="2140" w:type="dxa"/>
            <w:tcBorders>
              <w:top w:val="nil"/>
              <w:left w:val="nil"/>
              <w:bottom w:val="single" w:sz="8" w:space="0" w:color="auto"/>
              <w:right w:val="single" w:sz="4" w:space="0" w:color="auto"/>
            </w:tcBorders>
            <w:shd w:val="clear" w:color="000000" w:fill="EEECE1"/>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30</w:t>
            </w:r>
          </w:p>
        </w:tc>
        <w:tc>
          <w:tcPr>
            <w:tcW w:w="2240" w:type="dxa"/>
            <w:tcBorders>
              <w:top w:val="nil"/>
              <w:left w:val="nil"/>
              <w:bottom w:val="single" w:sz="8" w:space="0" w:color="auto"/>
              <w:right w:val="single" w:sz="8" w:space="0" w:color="auto"/>
            </w:tcBorders>
            <w:shd w:val="clear" w:color="000000" w:fill="EEECE1"/>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120</w:t>
            </w:r>
          </w:p>
        </w:tc>
      </w:tr>
      <w:tr w:rsidR="00586651" w:rsidRPr="00586651" w:rsidTr="00586651">
        <w:trPr>
          <w:trHeight w:val="300"/>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w:t>
            </w:r>
          </w:p>
        </w:tc>
        <w:tc>
          <w:tcPr>
            <w:tcW w:w="17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0.12</w:t>
            </w:r>
          </w:p>
        </w:tc>
        <w:tc>
          <w:tcPr>
            <w:tcW w:w="9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80</w:t>
            </w:r>
          </w:p>
        </w:tc>
        <w:tc>
          <w:tcPr>
            <w:tcW w:w="214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2400</w:t>
            </w:r>
          </w:p>
        </w:tc>
        <w:tc>
          <w:tcPr>
            <w:tcW w:w="2240" w:type="dxa"/>
            <w:tcBorders>
              <w:top w:val="nil"/>
              <w:left w:val="nil"/>
              <w:bottom w:val="single" w:sz="4" w:space="0" w:color="auto"/>
              <w:right w:val="single" w:sz="8"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9600</w:t>
            </w:r>
          </w:p>
        </w:tc>
      </w:tr>
      <w:tr w:rsidR="00586651" w:rsidRPr="00586651" w:rsidTr="00586651">
        <w:trPr>
          <w:trHeight w:val="300"/>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2</w:t>
            </w:r>
          </w:p>
        </w:tc>
        <w:tc>
          <w:tcPr>
            <w:tcW w:w="17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0.24</w:t>
            </w:r>
          </w:p>
        </w:tc>
        <w:tc>
          <w:tcPr>
            <w:tcW w:w="9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40</w:t>
            </w:r>
          </w:p>
        </w:tc>
        <w:tc>
          <w:tcPr>
            <w:tcW w:w="214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1200</w:t>
            </w:r>
          </w:p>
        </w:tc>
        <w:tc>
          <w:tcPr>
            <w:tcW w:w="2240" w:type="dxa"/>
            <w:tcBorders>
              <w:top w:val="nil"/>
              <w:left w:val="nil"/>
              <w:bottom w:val="single" w:sz="4" w:space="0" w:color="auto"/>
              <w:right w:val="single" w:sz="8"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4800</w:t>
            </w:r>
          </w:p>
        </w:tc>
      </w:tr>
      <w:tr w:rsidR="00586651" w:rsidRPr="00586651" w:rsidTr="00586651">
        <w:trPr>
          <w:trHeight w:val="300"/>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4</w:t>
            </w:r>
          </w:p>
        </w:tc>
        <w:tc>
          <w:tcPr>
            <w:tcW w:w="17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0.47</w:t>
            </w:r>
          </w:p>
        </w:tc>
        <w:tc>
          <w:tcPr>
            <w:tcW w:w="9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20</w:t>
            </w:r>
          </w:p>
        </w:tc>
        <w:tc>
          <w:tcPr>
            <w:tcW w:w="214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600</w:t>
            </w:r>
          </w:p>
        </w:tc>
        <w:tc>
          <w:tcPr>
            <w:tcW w:w="2240" w:type="dxa"/>
            <w:tcBorders>
              <w:top w:val="nil"/>
              <w:left w:val="nil"/>
              <w:bottom w:val="single" w:sz="4" w:space="0" w:color="auto"/>
              <w:right w:val="single" w:sz="8"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2400</w:t>
            </w:r>
          </w:p>
        </w:tc>
      </w:tr>
      <w:tr w:rsidR="00586651" w:rsidRPr="00586651" w:rsidTr="00586651">
        <w:trPr>
          <w:trHeight w:val="300"/>
        </w:trPr>
        <w:tc>
          <w:tcPr>
            <w:tcW w:w="1820" w:type="dxa"/>
            <w:tcBorders>
              <w:top w:val="nil"/>
              <w:left w:val="single" w:sz="8" w:space="0" w:color="auto"/>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8</w:t>
            </w:r>
          </w:p>
        </w:tc>
        <w:tc>
          <w:tcPr>
            <w:tcW w:w="17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0.94</w:t>
            </w:r>
          </w:p>
        </w:tc>
        <w:tc>
          <w:tcPr>
            <w:tcW w:w="96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10</w:t>
            </w:r>
          </w:p>
        </w:tc>
        <w:tc>
          <w:tcPr>
            <w:tcW w:w="2140" w:type="dxa"/>
            <w:tcBorders>
              <w:top w:val="nil"/>
              <w:left w:val="nil"/>
              <w:bottom w:val="single" w:sz="4"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300</w:t>
            </w:r>
          </w:p>
        </w:tc>
        <w:tc>
          <w:tcPr>
            <w:tcW w:w="2240" w:type="dxa"/>
            <w:tcBorders>
              <w:top w:val="nil"/>
              <w:left w:val="nil"/>
              <w:bottom w:val="single" w:sz="4" w:space="0" w:color="auto"/>
              <w:right w:val="single" w:sz="8"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1200</w:t>
            </w:r>
          </w:p>
        </w:tc>
      </w:tr>
      <w:tr w:rsidR="00586651" w:rsidRPr="00586651" w:rsidTr="00586651">
        <w:trPr>
          <w:trHeight w:val="315"/>
        </w:trPr>
        <w:tc>
          <w:tcPr>
            <w:tcW w:w="1820" w:type="dxa"/>
            <w:tcBorders>
              <w:top w:val="nil"/>
              <w:left w:val="single" w:sz="8" w:space="0" w:color="auto"/>
              <w:bottom w:val="single" w:sz="8"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16</w:t>
            </w:r>
          </w:p>
        </w:tc>
        <w:tc>
          <w:tcPr>
            <w:tcW w:w="1760" w:type="dxa"/>
            <w:tcBorders>
              <w:top w:val="nil"/>
              <w:left w:val="nil"/>
              <w:bottom w:val="single" w:sz="8"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1.89</w:t>
            </w:r>
          </w:p>
        </w:tc>
        <w:tc>
          <w:tcPr>
            <w:tcW w:w="960" w:type="dxa"/>
            <w:tcBorders>
              <w:top w:val="nil"/>
              <w:left w:val="nil"/>
              <w:bottom w:val="single" w:sz="8"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5</w:t>
            </w:r>
          </w:p>
        </w:tc>
        <w:tc>
          <w:tcPr>
            <w:tcW w:w="2140" w:type="dxa"/>
            <w:tcBorders>
              <w:top w:val="nil"/>
              <w:left w:val="nil"/>
              <w:bottom w:val="single" w:sz="8" w:space="0" w:color="auto"/>
              <w:right w:val="single" w:sz="4"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150</w:t>
            </w:r>
          </w:p>
        </w:tc>
        <w:tc>
          <w:tcPr>
            <w:tcW w:w="2240" w:type="dxa"/>
            <w:tcBorders>
              <w:top w:val="nil"/>
              <w:left w:val="nil"/>
              <w:bottom w:val="single" w:sz="8" w:space="0" w:color="auto"/>
              <w:right w:val="single" w:sz="8" w:space="0" w:color="auto"/>
            </w:tcBorders>
            <w:shd w:val="clear" w:color="auto" w:fill="auto"/>
            <w:noWrap/>
            <w:vAlign w:val="bottom"/>
            <w:hideMark/>
          </w:tcPr>
          <w:p w:rsidR="00586651" w:rsidRPr="00586651" w:rsidRDefault="00586651" w:rsidP="00586651">
            <w:pPr>
              <w:overflowPunct/>
              <w:autoSpaceDE/>
              <w:autoSpaceDN/>
              <w:adjustRightInd/>
              <w:spacing w:after="0"/>
              <w:jc w:val="right"/>
              <w:textAlignment w:val="auto"/>
              <w:rPr>
                <w:rFonts w:ascii="Calibri" w:hAnsi="Calibri"/>
                <w:color w:val="000000"/>
                <w:sz w:val="22"/>
                <w:szCs w:val="22"/>
                <w:lang w:val="en-US" w:eastAsia="en-US"/>
              </w:rPr>
            </w:pPr>
            <w:r w:rsidRPr="00586651">
              <w:rPr>
                <w:rFonts w:ascii="Calibri" w:hAnsi="Calibri"/>
                <w:color w:val="000000"/>
                <w:sz w:val="22"/>
                <w:szCs w:val="22"/>
                <w:lang w:val="en-US" w:eastAsia="en-US"/>
              </w:rPr>
              <w:t>600</w:t>
            </w:r>
          </w:p>
        </w:tc>
      </w:tr>
    </w:tbl>
    <w:p w:rsidR="00776370" w:rsidRDefault="00776370" w:rsidP="00776370">
      <w:pPr>
        <w:rPr>
          <w:i/>
        </w:rPr>
      </w:pPr>
    </w:p>
    <w:p w:rsidR="00C851AC" w:rsidRPr="00D8276C" w:rsidRDefault="00C851AC" w:rsidP="00C851AC">
      <w:pPr>
        <w:pStyle w:val="Heading2"/>
      </w:pPr>
      <w:bookmarkStart w:id="96" w:name="_Ref430780374"/>
      <w:r>
        <w:t>Future MIB extensions</w:t>
      </w:r>
      <w:bookmarkEnd w:id="96"/>
    </w:p>
    <w:p w:rsidR="00C851AC" w:rsidRDefault="00C851AC" w:rsidP="00C851AC">
      <w:pPr>
        <w:pStyle w:val="BodyText"/>
        <w:spacing w:before="120" w:after="240"/>
      </w:pPr>
      <w:r>
        <w:t xml:space="preserve">Assuming that the Rel-13 LC/CE extension consumes </w:t>
      </w:r>
      <w:r w:rsidRPr="000915DD">
        <w:rPr>
          <w:i/>
        </w:rPr>
        <w:t>k</w:t>
      </w:r>
      <w:r>
        <w:rPr>
          <w:i/>
        </w:rPr>
        <w:t xml:space="preserve"> </w:t>
      </w:r>
      <w:r>
        <w:t xml:space="preserve">of the spare bits in MIB there is only </w:t>
      </w:r>
      <w:r w:rsidRPr="00B53526">
        <w:rPr>
          <w:i/>
        </w:rPr>
        <w:t>10-k</w:t>
      </w:r>
      <w:r>
        <w:t xml:space="preserve"> bits left for future extensions. To allow cells that do not support the Rel-13 LC/CE feature to make use of the </w:t>
      </w:r>
      <w:r w:rsidRPr="00B53526">
        <w:rPr>
          <w:i/>
        </w:rPr>
        <w:t>k</w:t>
      </w:r>
      <w:r>
        <w:t xml:space="preserve"> bits utilized by the Rel-13 LC/CE extension, some form of branching can be considered. A simple approach is to use the first of the </w:t>
      </w:r>
      <w:r w:rsidRPr="0060081E">
        <w:rPr>
          <w:i/>
        </w:rPr>
        <w:t>k</w:t>
      </w:r>
      <w:r>
        <w:t xml:space="preserve"> bits (i.e. the “LC UE support” field) as a branching indicator. If the first bit is set to one, the </w:t>
      </w:r>
      <w:r w:rsidRPr="0060081E">
        <w:rPr>
          <w:i/>
        </w:rPr>
        <w:t>k-1</w:t>
      </w:r>
      <w:r>
        <w:t xml:space="preserve"> bits that follow contains Rel-13 LC/CE parameters, otherwise the UE checks for the next extension type by reading the next spare bit. If this bit is set to one, the next </w:t>
      </w:r>
      <w:r w:rsidRPr="0060081E">
        <w:rPr>
          <w:i/>
        </w:rPr>
        <w:t>k-2</w:t>
      </w:r>
      <w:r>
        <w:t xml:space="preserve"> bits contain the extension parameters, and so on</w:t>
      </w:r>
      <w:r>
        <w:rPr>
          <w:rStyle w:val="FootnoteReference"/>
        </w:rPr>
        <w:footnoteReference w:id="3"/>
      </w:r>
      <w:r>
        <w:t xml:space="preserve">. Note that the remaining </w:t>
      </w:r>
      <w:r w:rsidRPr="0060081E">
        <w:rPr>
          <w:i/>
        </w:rPr>
        <w:t>10-k</w:t>
      </w:r>
      <w:r>
        <w:t xml:space="preserve"> spare bits in MIB are independent and are not affected by the branching structure imposed on the first </w:t>
      </w:r>
      <w:r w:rsidRPr="0060081E">
        <w:rPr>
          <w:i/>
        </w:rPr>
        <w:t>k</w:t>
      </w:r>
      <w:r>
        <w:t xml:space="preserve"> bits.</w:t>
      </w:r>
      <w:r w:rsidR="00960846">
        <w:t xml:space="preserve"> </w:t>
      </w:r>
    </w:p>
    <w:p w:rsidR="00C851AC" w:rsidRDefault="00C851AC" w:rsidP="00C851AC">
      <w:pPr>
        <w:pStyle w:val="BodyText"/>
        <w:spacing w:before="120" w:after="240"/>
      </w:pPr>
      <w:r w:rsidRPr="00251078">
        <w:t>Setting this bit to zero indicates that the following k-1 bits do not contain Rel-13 LC/CE parameters (and hence can be used for future extensions).</w:t>
      </w:r>
    </w:p>
    <w:p w:rsidR="00C851AC" w:rsidRDefault="00C851AC" w:rsidP="00C851AC">
      <w:pPr>
        <w:pStyle w:val="BodyText"/>
        <w:spacing w:before="120" w:after="240"/>
      </w:pPr>
    </w:p>
    <w:p w:rsidR="00C851AC" w:rsidRDefault="00C851AC" w:rsidP="00C851AC">
      <w:pPr>
        <w:pStyle w:val="BodyText"/>
        <w:jc w:val="center"/>
      </w:pPr>
      <w:r>
        <w:object w:dxaOrig="5640" w:dyaOrig="3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70.25pt" o:ole="">
            <v:imagedata r:id="rId9" o:title=""/>
          </v:shape>
          <o:OLEObject Type="Embed" ProgID="Visio.Drawing.11" ShapeID="_x0000_i1025" DrawAspect="Content" ObjectID="_1508375715" r:id="rId10"/>
        </w:object>
      </w:r>
    </w:p>
    <w:p w:rsidR="00C851AC" w:rsidRDefault="00C851AC" w:rsidP="00C851AC">
      <w:pPr>
        <w:pStyle w:val="Caption"/>
      </w:pPr>
      <w:r w:rsidRPr="00CE0424">
        <w:t xml:space="preserve">Figure </w:t>
      </w:r>
      <w:r w:rsidRPr="00CE0424">
        <w:fldChar w:fldCharType="begin"/>
      </w:r>
      <w:r w:rsidRPr="00CE0424">
        <w:instrText xml:space="preserve"> SEQ Figure \* ARABIC </w:instrText>
      </w:r>
      <w:r w:rsidRPr="00CE0424">
        <w:fldChar w:fldCharType="separate"/>
      </w:r>
      <w:r w:rsidR="00892A2F">
        <w:rPr>
          <w:noProof/>
        </w:rPr>
        <w:t>1</w:t>
      </w:r>
      <w:r w:rsidRPr="00CE0424">
        <w:fldChar w:fldCharType="end"/>
      </w:r>
      <w:r>
        <w:t xml:space="preserve">: Branching structure for the first </w:t>
      </w:r>
      <w:r w:rsidRPr="00B53526">
        <w:rPr>
          <w:i/>
        </w:rPr>
        <w:t>k</w:t>
      </w:r>
      <w:r>
        <w:t xml:space="preserve"> spare bits in MIB</w:t>
      </w:r>
    </w:p>
    <w:p w:rsidR="00C851AC" w:rsidRDefault="00C851AC" w:rsidP="00C851AC">
      <w:pPr>
        <w:pStyle w:val="BodyText"/>
        <w:spacing w:before="120" w:after="240"/>
      </w:pPr>
      <w:r>
        <w:t xml:space="preserve">In order to avoid misinterpretations the “LC UE support” field must be set to zero in cells which do not support the Rel-13 LC/CE extension, in particular in pre-Rel-13 cells. Fortunately, there is already a requirement that spare bits in MIB shall be set to zero prior to Rel-13; according to clause 8.4 in TS 36.331 </w:t>
      </w:r>
      <w:r>
        <w:fldChar w:fldCharType="begin"/>
      </w:r>
      <w:r>
        <w:instrText xml:space="preserve"> REF _Ref406594038 \n \h </w:instrText>
      </w:r>
      <w:r>
        <w:fldChar w:fldCharType="separate"/>
      </w:r>
      <w:r w:rsidR="00892A2F">
        <w:t>[2]</w:t>
      </w:r>
      <w:r>
        <w:fldChar w:fldCharType="end"/>
      </w:r>
      <w:r>
        <w:t xml:space="preserve"> a “</w:t>
      </w:r>
      <w:r w:rsidRPr="00C66001">
        <w:t>transmitter compliant with this version of the specification shall set spare bits to zero</w:t>
      </w:r>
      <w:r>
        <w:t>”.</w:t>
      </w:r>
    </w:p>
    <w:p w:rsidR="00C851AC" w:rsidRDefault="00C851AC" w:rsidP="00C851AC">
      <w:pPr>
        <w:pStyle w:val="Heading2"/>
      </w:pPr>
      <w:r>
        <w:t>Coverage enhancement support</w:t>
      </w:r>
    </w:p>
    <w:p w:rsidR="00C851AC" w:rsidRDefault="00C851AC" w:rsidP="00C851AC">
      <w:pPr>
        <w:pStyle w:val="BodyText"/>
        <w:spacing w:before="120"/>
      </w:pPr>
      <w:r>
        <w:t xml:space="preserve">Regarding the indication of the maximum CE level supported in the cell, such an indication could either be included in MIB, or in another SI container acquired later. In this paper only indications in MIB are discussed, and the main purpose of such an indicator would then be to allow for the UE to avoid acquiring SIB1bis to camp on the cell if its coverage enhancement level is worse than what is supported in the cell. Since SIB1bis is periodically broadcasted the UE will in principle always be able to decode it eventually, given that accumulation is done over sufficiently many repetitions (at least if changed SI content is not considered). The main purpose of a CE indication in MIB would therefore be to give an early indication to the UE if it should even attempt to decode SIB1bis, or at what point it should not bother to try to decode it any longer (e.g. in the case of incorrect RSRP measurement). The benefits are therefore extended UE battery life and shorter cell (re)selection time. In a way the maximum CE-indication is therefore not crucial but rather an optimization. On the other hand, after the UE has decoded the MIB it has some knowledge of its own CE-level from both RSRP measurements and the number of repetitions required for decoding MIB, but it may not know the maximum CE-level currently supported in the cell. Given the large number of repetitions required for the highest CE-level, such an indication would therefore have large gains on battery life and perhaps CE operation is not even feasible for battery operated devices without it.  </w:t>
      </w:r>
    </w:p>
    <w:p w:rsidR="00C851AC" w:rsidRDefault="00C851AC" w:rsidP="00C851AC">
      <w:pPr>
        <w:pStyle w:val="Observation"/>
        <w:numPr>
          <w:ilvl w:val="0"/>
          <w:numId w:val="0"/>
        </w:numPr>
        <w:ind w:left="360" w:hanging="360"/>
      </w:pPr>
    </w:p>
    <w:p w:rsidR="00C851AC" w:rsidRDefault="00C851AC" w:rsidP="00C851AC">
      <w:pPr>
        <w:pStyle w:val="BodyText"/>
        <w:spacing w:before="120"/>
      </w:pPr>
      <w:r>
        <w:t>Several options can be considered for such a maximum CE level indication and at least the most obvious are listed and discussed below:</w:t>
      </w:r>
    </w:p>
    <w:p w:rsidR="00C851AC" w:rsidRDefault="00C851AC" w:rsidP="00C26962">
      <w:pPr>
        <w:pStyle w:val="BodyText"/>
        <w:numPr>
          <w:ilvl w:val="0"/>
          <w:numId w:val="11"/>
        </w:numPr>
        <w:spacing w:before="120"/>
      </w:pPr>
      <w:r>
        <w:t xml:space="preserve">  An on/off type of indication. This will not be sufficient since there are different levels in which coverage enhancement can be supported (e.g. 5, 10, 15 dB).</w:t>
      </w:r>
    </w:p>
    <w:p w:rsidR="00C851AC" w:rsidRDefault="00C851AC" w:rsidP="00C26962">
      <w:pPr>
        <w:pStyle w:val="BodyText"/>
        <w:numPr>
          <w:ilvl w:val="0"/>
          <w:numId w:val="11"/>
        </w:numPr>
        <w:spacing w:before="120"/>
      </w:pPr>
      <w:r>
        <w:t xml:space="preserve">  Indication of coverage enhancement level.  Just indicating a level, e.g. </w:t>
      </w:r>
      <w:r w:rsidRPr="003651A7">
        <w:t>CE level 2</w:t>
      </w:r>
      <w:r>
        <w:t xml:space="preserve">, the UE will not be able to interpret such relative value without knowing the reference coverage. </w:t>
      </w:r>
    </w:p>
    <w:p w:rsidR="00C851AC" w:rsidRDefault="00C851AC" w:rsidP="00C26962">
      <w:pPr>
        <w:pStyle w:val="BodyText"/>
        <w:numPr>
          <w:ilvl w:val="0"/>
          <w:numId w:val="11"/>
        </w:numPr>
        <w:spacing w:before="120"/>
      </w:pPr>
      <w:r>
        <w:t xml:space="preserve">An indication of the minimum RSRP for camping on the cell, i.e. a </w:t>
      </w:r>
      <w:r w:rsidRPr="009F15FB">
        <w:rPr>
          <w:i/>
        </w:rPr>
        <w:t>q-RxLevMin</w:t>
      </w:r>
      <w:r>
        <w:rPr>
          <w:i/>
        </w:rPr>
        <w:t xml:space="preserve">-CE </w:t>
      </w:r>
      <w:r>
        <w:t>threshold. This is beneficial since it has direct and clear meaning to the UE, if measured RSRP is not above this threshold it shall not consider the cell for cell (re)selection. The drawback is that the RSRP measurement is very inaccurate in the UE (</w:t>
      </w:r>
      <w:r>
        <w:rPr>
          <w:rFonts w:cs="Arial"/>
        </w:rPr>
        <w:t>±</w:t>
      </w:r>
      <w:r>
        <w:t xml:space="preserve">8 dB according to </w:t>
      </w:r>
      <w:r w:rsidRPr="00CF461C">
        <w:t>Table 9.1.2.1-1</w:t>
      </w:r>
      <w:r>
        <w:t xml:space="preserve"> in</w:t>
      </w:r>
      <w:r w:rsidR="001652D4">
        <w:t xml:space="preserve"> </w:t>
      </w:r>
      <w:r w:rsidR="001652D4">
        <w:fldChar w:fldCharType="begin"/>
      </w:r>
      <w:r w:rsidR="001652D4">
        <w:instrText xml:space="preserve"> REF _Ref433802865 \r \h </w:instrText>
      </w:r>
      <w:r w:rsidR="001652D4">
        <w:fldChar w:fldCharType="separate"/>
      </w:r>
      <w:r w:rsidR="001652D4">
        <w:t>[18]</w:t>
      </w:r>
      <w:r w:rsidR="001652D4">
        <w:fldChar w:fldCharType="end"/>
      </w:r>
      <w:r>
        <w:t>). That is, even if such an indication where to be included in MIB, the measurement inaccuracy could cause the UE to acquire SIB1bis when not necessary (and vice versa).</w:t>
      </w:r>
    </w:p>
    <w:p w:rsidR="00C851AC" w:rsidRDefault="00C851AC" w:rsidP="00C26962">
      <w:pPr>
        <w:pStyle w:val="BodyText"/>
        <w:numPr>
          <w:ilvl w:val="0"/>
          <w:numId w:val="11"/>
        </w:numPr>
        <w:spacing w:before="120"/>
      </w:pPr>
      <w:r>
        <w:t>An indication of the maximum number of repetition the UE should attempt for decoding SIB1bis. If the UE has not managed to decode it accumulating over the indicated number of repetitions, the cell shall not be considered for cell (re)selection. (This could possibly be combined with a maximum number of attempts). Note that if the UE clearly sees that it will need more that the indicated number of repetitions it will not even attempt to decode SIB1bis to save battery.</w:t>
      </w:r>
    </w:p>
    <w:p w:rsidR="00440B28" w:rsidRDefault="00C851AC" w:rsidP="00040295">
      <w:pPr>
        <w:pStyle w:val="BodyText"/>
        <w:spacing w:before="120"/>
      </w:pPr>
      <w:r>
        <w:lastRenderedPageBreak/>
        <w:t xml:space="preserve">The number of repetitions in option D can be mapped to the </w:t>
      </w:r>
      <w:r w:rsidRPr="009F15FB">
        <w:rPr>
          <w:i/>
        </w:rPr>
        <w:t>q-RxLevMin</w:t>
      </w:r>
      <w:r>
        <w:rPr>
          <w:i/>
        </w:rPr>
        <w:t xml:space="preserve">-CE </w:t>
      </w:r>
      <w:r>
        <w:t>threshold in option C and therefore e.g. 2 bits in MIB could indicate both according to the following table.</w:t>
      </w:r>
    </w:p>
    <w:p w:rsidR="00440B28" w:rsidRDefault="00440B28" w:rsidP="00040295">
      <w:pPr>
        <w:pStyle w:val="Caption"/>
        <w:keepNext/>
        <w:jc w:val="both"/>
      </w:pPr>
    </w:p>
    <w:p w:rsidR="00C851AC" w:rsidRDefault="00C851AC" w:rsidP="00C851AC">
      <w:pPr>
        <w:pStyle w:val="Caption"/>
        <w:keepNext/>
      </w:pPr>
      <w:r>
        <w:t xml:space="preserve">Table </w:t>
      </w:r>
      <w:r>
        <w:fldChar w:fldCharType="begin"/>
      </w:r>
      <w:r>
        <w:instrText xml:space="preserve"> SEQ Table \* ARABIC </w:instrText>
      </w:r>
      <w:r>
        <w:fldChar w:fldCharType="separate"/>
      </w:r>
      <w:r w:rsidR="00892A2F">
        <w:rPr>
          <w:noProof/>
        </w:rPr>
        <w:t>3</w:t>
      </w:r>
      <w:r>
        <w:fldChar w:fldCharType="end"/>
      </w:r>
      <w:r>
        <w:t>: Maximum coverage enhancement indication bit mapping.</w:t>
      </w:r>
    </w:p>
    <w:tbl>
      <w:tblPr>
        <w:tblW w:w="5469" w:type="dxa"/>
        <w:jc w:val="center"/>
        <w:tblInd w:w="2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72"/>
        <w:gridCol w:w="1821"/>
        <w:gridCol w:w="1843"/>
        <w:gridCol w:w="1033"/>
      </w:tblGrid>
      <w:tr w:rsidR="00C851AC" w:rsidRPr="005968B2" w:rsidTr="00961DF8">
        <w:trPr>
          <w:trHeight w:val="418"/>
          <w:jc w:val="center"/>
        </w:trPr>
        <w:tc>
          <w:tcPr>
            <w:tcW w:w="772" w:type="dxa"/>
            <w:shd w:val="clear" w:color="auto" w:fill="D9D9D9"/>
            <w:vAlign w:val="center"/>
          </w:tcPr>
          <w:p w:rsidR="00C851AC" w:rsidRPr="005968B2" w:rsidRDefault="00C851AC" w:rsidP="00961DF8">
            <w:pPr>
              <w:spacing w:after="180"/>
              <w:jc w:val="left"/>
              <w:rPr>
                <w:b/>
                <w:lang w:eastAsia="en-US"/>
              </w:rPr>
            </w:pPr>
            <w:r>
              <w:rPr>
                <w:b/>
                <w:lang w:eastAsia="en-US"/>
              </w:rPr>
              <w:t>Bit string</w:t>
            </w:r>
          </w:p>
        </w:tc>
        <w:tc>
          <w:tcPr>
            <w:tcW w:w="1821" w:type="dxa"/>
            <w:shd w:val="clear" w:color="auto" w:fill="D9D9D9"/>
          </w:tcPr>
          <w:p w:rsidR="00C851AC" w:rsidRDefault="00C851AC" w:rsidP="00961DF8">
            <w:pPr>
              <w:spacing w:after="180"/>
              <w:jc w:val="left"/>
              <w:rPr>
                <w:b/>
                <w:lang w:eastAsia="en-US"/>
              </w:rPr>
            </w:pPr>
            <w:r>
              <w:rPr>
                <w:b/>
                <w:lang w:eastAsia="en-US"/>
              </w:rPr>
              <w:t xml:space="preserve">q-RXLevMin-CE </w:t>
            </w:r>
          </w:p>
        </w:tc>
        <w:tc>
          <w:tcPr>
            <w:tcW w:w="1843" w:type="dxa"/>
            <w:shd w:val="clear" w:color="auto" w:fill="D9D9D9"/>
            <w:vAlign w:val="center"/>
          </w:tcPr>
          <w:p w:rsidR="00C851AC" w:rsidRDefault="00C851AC" w:rsidP="00961DF8">
            <w:pPr>
              <w:spacing w:after="180"/>
              <w:jc w:val="center"/>
              <w:rPr>
                <w:b/>
                <w:lang w:eastAsia="en-US"/>
              </w:rPr>
            </w:pPr>
            <w:r>
              <w:rPr>
                <w:b/>
                <w:lang w:eastAsia="en-US"/>
              </w:rPr>
              <w:t>SIB1bis max # of repetitions</w:t>
            </w:r>
          </w:p>
        </w:tc>
        <w:tc>
          <w:tcPr>
            <w:tcW w:w="1033" w:type="dxa"/>
            <w:shd w:val="clear" w:color="auto" w:fill="D9D9D9"/>
          </w:tcPr>
          <w:p w:rsidR="00C851AC" w:rsidRDefault="00C851AC" w:rsidP="00961DF8">
            <w:pPr>
              <w:spacing w:after="180"/>
              <w:jc w:val="left"/>
              <w:rPr>
                <w:b/>
                <w:lang w:eastAsia="en-US"/>
              </w:rPr>
            </w:pPr>
            <w:r>
              <w:rPr>
                <w:b/>
                <w:lang w:eastAsia="en-US"/>
              </w:rPr>
              <w:t>CE level</w:t>
            </w:r>
          </w:p>
        </w:tc>
      </w:tr>
      <w:tr w:rsidR="00C851AC" w:rsidRPr="005968B2" w:rsidTr="00961DF8">
        <w:trPr>
          <w:trHeight w:val="418"/>
          <w:jc w:val="center"/>
        </w:trPr>
        <w:tc>
          <w:tcPr>
            <w:tcW w:w="772" w:type="dxa"/>
            <w:shd w:val="clear" w:color="auto" w:fill="auto"/>
            <w:vAlign w:val="center"/>
          </w:tcPr>
          <w:p w:rsidR="00C851AC" w:rsidRPr="005968B2" w:rsidRDefault="00C851AC" w:rsidP="00961DF8">
            <w:pPr>
              <w:spacing w:after="180"/>
              <w:jc w:val="left"/>
              <w:rPr>
                <w:lang w:eastAsia="en-US"/>
              </w:rPr>
            </w:pPr>
            <w:r>
              <w:rPr>
                <w:lang w:eastAsia="en-US"/>
              </w:rPr>
              <w:t>00</w:t>
            </w:r>
          </w:p>
        </w:tc>
        <w:tc>
          <w:tcPr>
            <w:tcW w:w="1821" w:type="dxa"/>
          </w:tcPr>
          <w:p w:rsidR="00C851AC" w:rsidRDefault="00C851AC" w:rsidP="00961DF8">
            <w:pPr>
              <w:spacing w:after="180"/>
              <w:jc w:val="center"/>
              <w:rPr>
                <w:lang w:eastAsia="en-US"/>
              </w:rPr>
            </w:pPr>
            <w:r>
              <w:rPr>
                <w:lang w:eastAsia="en-US"/>
              </w:rPr>
              <w:t>Q</w:t>
            </w:r>
            <w:r>
              <w:rPr>
                <w:vertAlign w:val="subscript"/>
                <w:lang w:eastAsia="en-US"/>
              </w:rPr>
              <w:t>NC</w:t>
            </w:r>
          </w:p>
        </w:tc>
        <w:tc>
          <w:tcPr>
            <w:tcW w:w="1843" w:type="dxa"/>
            <w:vAlign w:val="center"/>
          </w:tcPr>
          <w:p w:rsidR="00C851AC" w:rsidRDefault="00C851AC" w:rsidP="00961DF8">
            <w:pPr>
              <w:spacing w:after="180"/>
              <w:jc w:val="center"/>
              <w:rPr>
                <w:lang w:eastAsia="en-US"/>
              </w:rPr>
            </w:pPr>
            <w:r>
              <w:rPr>
                <w:lang w:eastAsia="en-US"/>
              </w:rPr>
              <w:t>N</w:t>
            </w:r>
            <w:r>
              <w:rPr>
                <w:vertAlign w:val="subscript"/>
                <w:lang w:eastAsia="en-US"/>
              </w:rPr>
              <w:t>NC</w:t>
            </w:r>
          </w:p>
        </w:tc>
        <w:tc>
          <w:tcPr>
            <w:tcW w:w="1033" w:type="dxa"/>
          </w:tcPr>
          <w:p w:rsidR="00C851AC" w:rsidRDefault="00C851AC" w:rsidP="00961DF8">
            <w:pPr>
              <w:spacing w:after="180"/>
              <w:jc w:val="center"/>
              <w:rPr>
                <w:lang w:eastAsia="en-US"/>
              </w:rPr>
            </w:pPr>
            <w:r>
              <w:rPr>
                <w:lang w:eastAsia="en-US"/>
              </w:rPr>
              <w:t>NC</w:t>
            </w:r>
          </w:p>
        </w:tc>
      </w:tr>
      <w:tr w:rsidR="00C851AC" w:rsidRPr="005968B2" w:rsidTr="00961DF8">
        <w:trPr>
          <w:trHeight w:val="433"/>
          <w:jc w:val="center"/>
        </w:trPr>
        <w:tc>
          <w:tcPr>
            <w:tcW w:w="772" w:type="dxa"/>
            <w:shd w:val="clear" w:color="auto" w:fill="auto"/>
            <w:vAlign w:val="center"/>
          </w:tcPr>
          <w:p w:rsidR="00C851AC" w:rsidRPr="005968B2" w:rsidRDefault="00C851AC" w:rsidP="00961DF8">
            <w:pPr>
              <w:spacing w:after="180"/>
              <w:jc w:val="left"/>
              <w:rPr>
                <w:lang w:eastAsia="en-US"/>
              </w:rPr>
            </w:pPr>
            <w:r>
              <w:rPr>
                <w:lang w:eastAsia="en-US"/>
              </w:rPr>
              <w:t>01</w:t>
            </w:r>
          </w:p>
        </w:tc>
        <w:tc>
          <w:tcPr>
            <w:tcW w:w="1821" w:type="dxa"/>
          </w:tcPr>
          <w:p w:rsidR="00C851AC" w:rsidRDefault="00C851AC" w:rsidP="00961DF8">
            <w:pPr>
              <w:spacing w:after="180"/>
              <w:jc w:val="center"/>
              <w:rPr>
                <w:lang w:eastAsia="en-US"/>
              </w:rPr>
            </w:pPr>
            <w:r>
              <w:rPr>
                <w:lang w:eastAsia="en-US"/>
              </w:rPr>
              <w:t>Q</w:t>
            </w:r>
            <w:r w:rsidRPr="00CB6CC3">
              <w:rPr>
                <w:vertAlign w:val="subscript"/>
                <w:lang w:eastAsia="en-US"/>
              </w:rPr>
              <w:t>1</w:t>
            </w:r>
          </w:p>
        </w:tc>
        <w:tc>
          <w:tcPr>
            <w:tcW w:w="1843" w:type="dxa"/>
            <w:vAlign w:val="center"/>
          </w:tcPr>
          <w:p w:rsidR="00C851AC" w:rsidRDefault="00C851AC" w:rsidP="00961DF8">
            <w:pPr>
              <w:spacing w:after="180"/>
              <w:jc w:val="center"/>
              <w:rPr>
                <w:lang w:eastAsia="en-US"/>
              </w:rPr>
            </w:pPr>
            <w:r>
              <w:rPr>
                <w:lang w:eastAsia="en-US"/>
              </w:rPr>
              <w:t>N</w:t>
            </w:r>
            <w:r>
              <w:rPr>
                <w:vertAlign w:val="subscript"/>
                <w:lang w:eastAsia="en-US"/>
              </w:rPr>
              <w:t>1</w:t>
            </w:r>
          </w:p>
        </w:tc>
        <w:tc>
          <w:tcPr>
            <w:tcW w:w="1033" w:type="dxa"/>
          </w:tcPr>
          <w:p w:rsidR="00C851AC" w:rsidRDefault="00C851AC" w:rsidP="00961DF8">
            <w:pPr>
              <w:spacing w:after="180"/>
              <w:jc w:val="center"/>
              <w:rPr>
                <w:lang w:eastAsia="en-US"/>
              </w:rPr>
            </w:pPr>
            <w:r>
              <w:rPr>
                <w:lang w:eastAsia="en-US"/>
              </w:rPr>
              <w:t>1</w:t>
            </w:r>
          </w:p>
        </w:tc>
      </w:tr>
      <w:tr w:rsidR="00C851AC" w:rsidRPr="005968B2" w:rsidTr="00961DF8">
        <w:trPr>
          <w:trHeight w:val="433"/>
          <w:jc w:val="center"/>
        </w:trPr>
        <w:tc>
          <w:tcPr>
            <w:tcW w:w="772" w:type="dxa"/>
            <w:shd w:val="clear" w:color="auto" w:fill="auto"/>
            <w:vAlign w:val="center"/>
          </w:tcPr>
          <w:p w:rsidR="00C851AC" w:rsidRPr="005968B2" w:rsidDel="00DD539D" w:rsidRDefault="00C851AC" w:rsidP="00961DF8">
            <w:pPr>
              <w:spacing w:after="180"/>
              <w:jc w:val="left"/>
              <w:rPr>
                <w:lang w:eastAsia="en-US"/>
              </w:rPr>
            </w:pPr>
            <w:r>
              <w:rPr>
                <w:lang w:eastAsia="en-US"/>
              </w:rPr>
              <w:t>10</w:t>
            </w:r>
          </w:p>
        </w:tc>
        <w:tc>
          <w:tcPr>
            <w:tcW w:w="1821" w:type="dxa"/>
          </w:tcPr>
          <w:p w:rsidR="00C851AC" w:rsidRDefault="00C851AC" w:rsidP="00961DF8">
            <w:pPr>
              <w:spacing w:after="180"/>
              <w:jc w:val="center"/>
              <w:rPr>
                <w:lang w:eastAsia="en-US"/>
              </w:rPr>
            </w:pPr>
            <w:r>
              <w:rPr>
                <w:lang w:eastAsia="en-US"/>
              </w:rPr>
              <w:t>Q</w:t>
            </w:r>
            <w:r>
              <w:rPr>
                <w:vertAlign w:val="subscript"/>
                <w:lang w:eastAsia="en-US"/>
              </w:rPr>
              <w:t>2</w:t>
            </w:r>
          </w:p>
        </w:tc>
        <w:tc>
          <w:tcPr>
            <w:tcW w:w="1843" w:type="dxa"/>
            <w:vAlign w:val="center"/>
          </w:tcPr>
          <w:p w:rsidR="00C851AC" w:rsidRDefault="00C851AC" w:rsidP="00961DF8">
            <w:pPr>
              <w:spacing w:after="180"/>
              <w:jc w:val="center"/>
              <w:rPr>
                <w:lang w:eastAsia="en-US"/>
              </w:rPr>
            </w:pPr>
            <w:r>
              <w:rPr>
                <w:lang w:eastAsia="en-US"/>
              </w:rPr>
              <w:t>N</w:t>
            </w:r>
            <w:r>
              <w:rPr>
                <w:vertAlign w:val="subscript"/>
                <w:lang w:eastAsia="en-US"/>
              </w:rPr>
              <w:t>2</w:t>
            </w:r>
          </w:p>
        </w:tc>
        <w:tc>
          <w:tcPr>
            <w:tcW w:w="1033" w:type="dxa"/>
          </w:tcPr>
          <w:p w:rsidR="00C851AC" w:rsidRDefault="00C851AC" w:rsidP="00961DF8">
            <w:pPr>
              <w:spacing w:after="180"/>
              <w:jc w:val="center"/>
              <w:rPr>
                <w:lang w:eastAsia="en-US"/>
              </w:rPr>
            </w:pPr>
            <w:r>
              <w:rPr>
                <w:lang w:eastAsia="en-US"/>
              </w:rPr>
              <w:t>2</w:t>
            </w:r>
          </w:p>
        </w:tc>
      </w:tr>
      <w:tr w:rsidR="00C851AC" w:rsidRPr="005968B2" w:rsidTr="00961DF8">
        <w:trPr>
          <w:trHeight w:val="433"/>
          <w:jc w:val="center"/>
        </w:trPr>
        <w:tc>
          <w:tcPr>
            <w:tcW w:w="772" w:type="dxa"/>
            <w:shd w:val="clear" w:color="auto" w:fill="auto"/>
            <w:vAlign w:val="center"/>
          </w:tcPr>
          <w:p w:rsidR="00C851AC" w:rsidRPr="005968B2" w:rsidRDefault="00C851AC" w:rsidP="00961DF8">
            <w:pPr>
              <w:spacing w:after="180"/>
              <w:jc w:val="left"/>
              <w:rPr>
                <w:lang w:eastAsia="en-US"/>
              </w:rPr>
            </w:pPr>
            <w:r>
              <w:rPr>
                <w:lang w:eastAsia="en-US"/>
              </w:rPr>
              <w:t>11</w:t>
            </w:r>
          </w:p>
        </w:tc>
        <w:tc>
          <w:tcPr>
            <w:tcW w:w="1821" w:type="dxa"/>
          </w:tcPr>
          <w:p w:rsidR="00C851AC" w:rsidRDefault="00C851AC" w:rsidP="00961DF8">
            <w:pPr>
              <w:spacing w:after="180"/>
              <w:jc w:val="center"/>
              <w:rPr>
                <w:lang w:eastAsia="en-US"/>
              </w:rPr>
            </w:pPr>
            <w:r>
              <w:rPr>
                <w:lang w:eastAsia="en-US"/>
              </w:rPr>
              <w:t>Q</w:t>
            </w:r>
            <w:r>
              <w:rPr>
                <w:vertAlign w:val="subscript"/>
                <w:lang w:eastAsia="en-US"/>
              </w:rPr>
              <w:t>3</w:t>
            </w:r>
          </w:p>
        </w:tc>
        <w:tc>
          <w:tcPr>
            <w:tcW w:w="1843" w:type="dxa"/>
            <w:vAlign w:val="center"/>
          </w:tcPr>
          <w:p w:rsidR="00C851AC" w:rsidRDefault="00C851AC" w:rsidP="00961DF8">
            <w:pPr>
              <w:spacing w:after="180"/>
              <w:jc w:val="center"/>
              <w:rPr>
                <w:lang w:eastAsia="en-US"/>
              </w:rPr>
            </w:pPr>
            <w:r>
              <w:rPr>
                <w:lang w:eastAsia="en-US"/>
              </w:rPr>
              <w:t>N</w:t>
            </w:r>
            <w:r>
              <w:rPr>
                <w:vertAlign w:val="subscript"/>
                <w:lang w:eastAsia="en-US"/>
              </w:rPr>
              <w:t>3</w:t>
            </w:r>
          </w:p>
        </w:tc>
        <w:tc>
          <w:tcPr>
            <w:tcW w:w="1033" w:type="dxa"/>
          </w:tcPr>
          <w:p w:rsidR="00C851AC" w:rsidRDefault="00C851AC" w:rsidP="00961DF8">
            <w:pPr>
              <w:spacing w:after="180"/>
              <w:jc w:val="center"/>
              <w:rPr>
                <w:lang w:eastAsia="en-US"/>
              </w:rPr>
            </w:pPr>
            <w:r>
              <w:rPr>
                <w:lang w:eastAsia="en-US"/>
              </w:rPr>
              <w:t>3</w:t>
            </w:r>
          </w:p>
        </w:tc>
      </w:tr>
    </w:tbl>
    <w:p w:rsidR="00C851AC" w:rsidRDefault="00C851AC" w:rsidP="00C851AC">
      <w:pPr>
        <w:pStyle w:val="BodyText"/>
      </w:pPr>
    </w:p>
    <w:p w:rsidR="00E06D98" w:rsidRPr="00784988" w:rsidRDefault="00E06D98" w:rsidP="001906D7"/>
    <w:sectPr w:rsidR="00E06D98" w:rsidRPr="0078498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51E" w:rsidRDefault="00F4451E">
      <w:r>
        <w:separator/>
      </w:r>
    </w:p>
  </w:endnote>
  <w:endnote w:type="continuationSeparator" w:id="0">
    <w:p w:rsidR="00F4451E" w:rsidRDefault="00F4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80F" w:rsidRDefault="00E928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2E9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2E92">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51E" w:rsidRDefault="00F4451E">
      <w:r>
        <w:separator/>
      </w:r>
    </w:p>
  </w:footnote>
  <w:footnote w:type="continuationSeparator" w:id="0">
    <w:p w:rsidR="00F4451E" w:rsidRDefault="00F4451E">
      <w:r>
        <w:continuationSeparator/>
      </w:r>
    </w:p>
  </w:footnote>
  <w:footnote w:id="1">
    <w:p w:rsidR="00C94CBE" w:rsidRPr="00C33085" w:rsidRDefault="00C94CBE" w:rsidP="00C94CBE">
      <w:pPr>
        <w:pStyle w:val="FootnoteText"/>
        <w:rPr>
          <w:lang w:val="en-US"/>
        </w:rPr>
      </w:pPr>
      <w:r>
        <w:rPr>
          <w:rStyle w:val="FootnoteReference"/>
        </w:rPr>
        <w:footnoteRef/>
      </w:r>
      <w:r>
        <w:t xml:space="preserve"> </w:t>
      </w:r>
      <w:r w:rsidRPr="00C33085">
        <w:rPr>
          <w:lang w:val="en-US"/>
        </w:rPr>
        <w:t xml:space="preserve">A similar approach </w:t>
      </w:r>
      <w:r>
        <w:rPr>
          <w:lang w:val="en-US"/>
        </w:rPr>
        <w:t>has been</w:t>
      </w:r>
      <w:r w:rsidRPr="00C33085">
        <w:rPr>
          <w:lang w:val="en-US"/>
        </w:rPr>
        <w:t xml:space="preserve"> used for H</w:t>
      </w:r>
      <w:r>
        <w:rPr>
          <w:lang w:val="en-US"/>
        </w:rPr>
        <w:t xml:space="preserve">S-SCCH orders in UMTS. See Clause 4.6C in TS 25.212 </w:t>
      </w:r>
      <w:r>
        <w:rPr>
          <w:lang w:val="en-US"/>
        </w:rPr>
        <w:fldChar w:fldCharType="begin"/>
      </w:r>
      <w:r>
        <w:rPr>
          <w:lang w:val="en-US"/>
        </w:rPr>
        <w:instrText xml:space="preserve"> REF _Ref415561668 \n \h </w:instrText>
      </w:r>
      <w:r>
        <w:rPr>
          <w:lang w:val="en-US"/>
        </w:rPr>
      </w:r>
      <w:r>
        <w:rPr>
          <w:lang w:val="en-US"/>
        </w:rPr>
        <w:fldChar w:fldCharType="separate"/>
      </w:r>
      <w:r>
        <w:rPr>
          <w:lang w:val="en-US"/>
        </w:rPr>
        <w:t>[3]</w:t>
      </w:r>
      <w:r>
        <w:rPr>
          <w:lang w:val="en-US"/>
        </w:rPr>
        <w:fldChar w:fldCharType="end"/>
      </w:r>
      <w:r>
        <w:rPr>
          <w:lang w:val="en-US"/>
        </w:rPr>
        <w:t>.</w:t>
      </w:r>
    </w:p>
  </w:footnote>
  <w:footnote w:id="2">
    <w:p w:rsidR="00E9280F" w:rsidRPr="00FE1B3C" w:rsidRDefault="00E9280F" w:rsidP="00C51CC3">
      <w:pPr>
        <w:pStyle w:val="FootnoteText"/>
        <w:rPr>
          <w:lang w:val="en-US"/>
        </w:rPr>
      </w:pPr>
      <w:r>
        <w:rPr>
          <w:rStyle w:val="FootnoteReference"/>
        </w:rPr>
        <w:footnoteRef/>
      </w:r>
      <w:r>
        <w:t xml:space="preserve"> Note that this overhead is added on top of that of legacy SIB1. </w:t>
      </w:r>
    </w:p>
  </w:footnote>
  <w:footnote w:id="3">
    <w:p w:rsidR="00E9280F" w:rsidRPr="00C33085" w:rsidRDefault="00E9280F" w:rsidP="00C851AC">
      <w:pPr>
        <w:pStyle w:val="FootnoteText"/>
        <w:rPr>
          <w:lang w:val="en-US"/>
        </w:rPr>
      </w:pPr>
      <w:r>
        <w:rPr>
          <w:rStyle w:val="FootnoteReference"/>
        </w:rPr>
        <w:footnoteRef/>
      </w:r>
      <w:r>
        <w:t xml:space="preserve"> </w:t>
      </w:r>
      <w:r w:rsidRPr="00C33085">
        <w:rPr>
          <w:lang w:val="en-US"/>
        </w:rPr>
        <w:t xml:space="preserve">A similar approach </w:t>
      </w:r>
      <w:r>
        <w:rPr>
          <w:lang w:val="en-US"/>
        </w:rPr>
        <w:t>has been</w:t>
      </w:r>
      <w:r w:rsidRPr="00C33085">
        <w:rPr>
          <w:lang w:val="en-US"/>
        </w:rPr>
        <w:t xml:space="preserve"> used for H</w:t>
      </w:r>
      <w:r>
        <w:rPr>
          <w:lang w:val="en-US"/>
        </w:rPr>
        <w:t xml:space="preserve">S-SCCH orders in UMTS. See Clause 4.6C in TS 25.212 </w:t>
      </w:r>
      <w:r>
        <w:rPr>
          <w:lang w:val="en-US"/>
        </w:rPr>
        <w:fldChar w:fldCharType="begin"/>
      </w:r>
      <w:r>
        <w:rPr>
          <w:lang w:val="en-US"/>
        </w:rPr>
        <w:instrText xml:space="preserve"> REF _Ref415561668 \n \h </w:instrText>
      </w:r>
      <w:r>
        <w:rPr>
          <w:lang w:val="en-US"/>
        </w:rPr>
      </w:r>
      <w:r>
        <w:rPr>
          <w:lang w:val="en-US"/>
        </w:rPr>
        <w:fldChar w:fldCharType="separate"/>
      </w:r>
      <w:r>
        <w:rPr>
          <w:lang w:val="en-US"/>
        </w:rPr>
        <w:t>[3]</w:t>
      </w:r>
      <w:r>
        <w:rPr>
          <w:lang w:val="en-US"/>
        </w:rPr>
        <w:fldChar w:fldCharType="end"/>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80F" w:rsidRDefault="00E928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56AE"/>
    <w:multiLevelType w:val="hybridMultilevel"/>
    <w:tmpl w:val="3DB80C84"/>
    <w:lvl w:ilvl="0" w:tplc="8CE26212">
      <w:start w:val="1"/>
      <w:numFmt w:val="bullet"/>
      <w:lvlText w:val="–"/>
      <w:lvlJc w:val="left"/>
      <w:pPr>
        <w:tabs>
          <w:tab w:val="num" w:pos="720"/>
        </w:tabs>
        <w:ind w:left="720" w:hanging="360"/>
      </w:pPr>
      <w:rPr>
        <w:rFonts w:ascii="Ericsson Capital TT" w:hAnsi="Ericsson Capital TT" w:hint="default"/>
      </w:rPr>
    </w:lvl>
    <w:lvl w:ilvl="1" w:tplc="CD7EFDFA">
      <w:start w:val="1"/>
      <w:numFmt w:val="bullet"/>
      <w:lvlText w:val="–"/>
      <w:lvlJc w:val="left"/>
      <w:pPr>
        <w:tabs>
          <w:tab w:val="num" w:pos="1440"/>
        </w:tabs>
        <w:ind w:left="1440" w:hanging="360"/>
      </w:pPr>
      <w:rPr>
        <w:rFonts w:ascii="Ericsson Capital TT" w:hAnsi="Ericsson Capital TT" w:hint="default"/>
      </w:rPr>
    </w:lvl>
    <w:lvl w:ilvl="2" w:tplc="012075DE">
      <w:start w:val="2352"/>
      <w:numFmt w:val="bullet"/>
      <w:lvlText w:val="›"/>
      <w:lvlJc w:val="left"/>
      <w:pPr>
        <w:tabs>
          <w:tab w:val="num" w:pos="2160"/>
        </w:tabs>
        <w:ind w:left="2160" w:hanging="360"/>
      </w:pPr>
      <w:rPr>
        <w:rFonts w:ascii="Ericsson Capital TT" w:hAnsi="Ericsson Capital TT" w:hint="default"/>
      </w:rPr>
    </w:lvl>
    <w:lvl w:ilvl="3" w:tplc="341EF4CC" w:tentative="1">
      <w:start w:val="1"/>
      <w:numFmt w:val="bullet"/>
      <w:lvlText w:val="–"/>
      <w:lvlJc w:val="left"/>
      <w:pPr>
        <w:tabs>
          <w:tab w:val="num" w:pos="2880"/>
        </w:tabs>
        <w:ind w:left="2880" w:hanging="360"/>
      </w:pPr>
      <w:rPr>
        <w:rFonts w:ascii="Ericsson Capital TT" w:hAnsi="Ericsson Capital TT" w:hint="default"/>
      </w:rPr>
    </w:lvl>
    <w:lvl w:ilvl="4" w:tplc="D87A71BA" w:tentative="1">
      <w:start w:val="1"/>
      <w:numFmt w:val="bullet"/>
      <w:lvlText w:val="–"/>
      <w:lvlJc w:val="left"/>
      <w:pPr>
        <w:tabs>
          <w:tab w:val="num" w:pos="3600"/>
        </w:tabs>
        <w:ind w:left="3600" w:hanging="360"/>
      </w:pPr>
      <w:rPr>
        <w:rFonts w:ascii="Ericsson Capital TT" w:hAnsi="Ericsson Capital TT" w:hint="default"/>
      </w:rPr>
    </w:lvl>
    <w:lvl w:ilvl="5" w:tplc="6F186F4A" w:tentative="1">
      <w:start w:val="1"/>
      <w:numFmt w:val="bullet"/>
      <w:lvlText w:val="–"/>
      <w:lvlJc w:val="left"/>
      <w:pPr>
        <w:tabs>
          <w:tab w:val="num" w:pos="4320"/>
        </w:tabs>
        <w:ind w:left="4320" w:hanging="360"/>
      </w:pPr>
      <w:rPr>
        <w:rFonts w:ascii="Ericsson Capital TT" w:hAnsi="Ericsson Capital TT" w:hint="default"/>
      </w:rPr>
    </w:lvl>
    <w:lvl w:ilvl="6" w:tplc="FACE44EE" w:tentative="1">
      <w:start w:val="1"/>
      <w:numFmt w:val="bullet"/>
      <w:lvlText w:val="–"/>
      <w:lvlJc w:val="left"/>
      <w:pPr>
        <w:tabs>
          <w:tab w:val="num" w:pos="5040"/>
        </w:tabs>
        <w:ind w:left="5040" w:hanging="360"/>
      </w:pPr>
      <w:rPr>
        <w:rFonts w:ascii="Ericsson Capital TT" w:hAnsi="Ericsson Capital TT" w:hint="default"/>
      </w:rPr>
    </w:lvl>
    <w:lvl w:ilvl="7" w:tplc="BEF8DFB8" w:tentative="1">
      <w:start w:val="1"/>
      <w:numFmt w:val="bullet"/>
      <w:lvlText w:val="–"/>
      <w:lvlJc w:val="left"/>
      <w:pPr>
        <w:tabs>
          <w:tab w:val="num" w:pos="5760"/>
        </w:tabs>
        <w:ind w:left="5760" w:hanging="360"/>
      </w:pPr>
      <w:rPr>
        <w:rFonts w:ascii="Ericsson Capital TT" w:hAnsi="Ericsson Capital TT" w:hint="default"/>
      </w:rPr>
    </w:lvl>
    <w:lvl w:ilvl="8" w:tplc="4C8E6572"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2870F0"/>
    <w:multiLevelType w:val="hybridMultilevel"/>
    <w:tmpl w:val="F32CA902"/>
    <w:lvl w:ilvl="0" w:tplc="4A38D500">
      <w:start w:val="1"/>
      <w:numFmt w:val="bullet"/>
      <w:lvlText w:val="–"/>
      <w:lvlJc w:val="left"/>
      <w:pPr>
        <w:tabs>
          <w:tab w:val="num" w:pos="720"/>
        </w:tabs>
        <w:ind w:left="720" w:hanging="360"/>
      </w:pPr>
      <w:rPr>
        <w:rFonts w:ascii="Ericsson Capital TT" w:hAnsi="Ericsson Capital TT" w:hint="default"/>
      </w:rPr>
    </w:lvl>
    <w:lvl w:ilvl="1" w:tplc="186C3DB2">
      <w:start w:val="1"/>
      <w:numFmt w:val="bullet"/>
      <w:lvlText w:val="–"/>
      <w:lvlJc w:val="left"/>
      <w:pPr>
        <w:tabs>
          <w:tab w:val="num" w:pos="1440"/>
        </w:tabs>
        <w:ind w:left="1440" w:hanging="360"/>
      </w:pPr>
      <w:rPr>
        <w:rFonts w:ascii="Ericsson Capital TT" w:hAnsi="Ericsson Capital TT" w:hint="default"/>
      </w:rPr>
    </w:lvl>
    <w:lvl w:ilvl="2" w:tplc="30EE69D0" w:tentative="1">
      <w:start w:val="1"/>
      <w:numFmt w:val="bullet"/>
      <w:lvlText w:val="–"/>
      <w:lvlJc w:val="left"/>
      <w:pPr>
        <w:tabs>
          <w:tab w:val="num" w:pos="2160"/>
        </w:tabs>
        <w:ind w:left="2160" w:hanging="360"/>
      </w:pPr>
      <w:rPr>
        <w:rFonts w:ascii="Ericsson Capital TT" w:hAnsi="Ericsson Capital TT" w:hint="default"/>
      </w:rPr>
    </w:lvl>
    <w:lvl w:ilvl="3" w:tplc="E5686B54">
      <w:start w:val="587"/>
      <w:numFmt w:val="bullet"/>
      <w:lvlText w:val="-"/>
      <w:lvlJc w:val="left"/>
      <w:pPr>
        <w:tabs>
          <w:tab w:val="num" w:pos="2880"/>
        </w:tabs>
        <w:ind w:left="2880" w:hanging="360"/>
      </w:pPr>
      <w:rPr>
        <w:rFonts w:ascii="Ericsson Capital TT" w:hAnsi="Ericsson Capital TT" w:hint="default"/>
      </w:rPr>
    </w:lvl>
    <w:lvl w:ilvl="4" w:tplc="D0AC004E" w:tentative="1">
      <w:start w:val="1"/>
      <w:numFmt w:val="bullet"/>
      <w:lvlText w:val="–"/>
      <w:lvlJc w:val="left"/>
      <w:pPr>
        <w:tabs>
          <w:tab w:val="num" w:pos="3600"/>
        </w:tabs>
        <w:ind w:left="3600" w:hanging="360"/>
      </w:pPr>
      <w:rPr>
        <w:rFonts w:ascii="Ericsson Capital TT" w:hAnsi="Ericsson Capital TT" w:hint="default"/>
      </w:rPr>
    </w:lvl>
    <w:lvl w:ilvl="5" w:tplc="28B62EBE" w:tentative="1">
      <w:start w:val="1"/>
      <w:numFmt w:val="bullet"/>
      <w:lvlText w:val="–"/>
      <w:lvlJc w:val="left"/>
      <w:pPr>
        <w:tabs>
          <w:tab w:val="num" w:pos="4320"/>
        </w:tabs>
        <w:ind w:left="4320" w:hanging="360"/>
      </w:pPr>
      <w:rPr>
        <w:rFonts w:ascii="Ericsson Capital TT" w:hAnsi="Ericsson Capital TT" w:hint="default"/>
      </w:rPr>
    </w:lvl>
    <w:lvl w:ilvl="6" w:tplc="B4C0A5AE" w:tentative="1">
      <w:start w:val="1"/>
      <w:numFmt w:val="bullet"/>
      <w:lvlText w:val="–"/>
      <w:lvlJc w:val="left"/>
      <w:pPr>
        <w:tabs>
          <w:tab w:val="num" w:pos="5040"/>
        </w:tabs>
        <w:ind w:left="5040" w:hanging="360"/>
      </w:pPr>
      <w:rPr>
        <w:rFonts w:ascii="Ericsson Capital TT" w:hAnsi="Ericsson Capital TT" w:hint="default"/>
      </w:rPr>
    </w:lvl>
    <w:lvl w:ilvl="7" w:tplc="723CE602" w:tentative="1">
      <w:start w:val="1"/>
      <w:numFmt w:val="bullet"/>
      <w:lvlText w:val="–"/>
      <w:lvlJc w:val="left"/>
      <w:pPr>
        <w:tabs>
          <w:tab w:val="num" w:pos="5760"/>
        </w:tabs>
        <w:ind w:left="5760" w:hanging="360"/>
      </w:pPr>
      <w:rPr>
        <w:rFonts w:ascii="Ericsson Capital TT" w:hAnsi="Ericsson Capital TT" w:hint="default"/>
      </w:rPr>
    </w:lvl>
    <w:lvl w:ilvl="8" w:tplc="629EDA68" w:tentative="1">
      <w:start w:val="1"/>
      <w:numFmt w:val="bullet"/>
      <w:lvlText w:val="–"/>
      <w:lvlJc w:val="left"/>
      <w:pPr>
        <w:tabs>
          <w:tab w:val="num" w:pos="6480"/>
        </w:tabs>
        <w:ind w:left="6480" w:hanging="360"/>
      </w:pPr>
      <w:rPr>
        <w:rFonts w:ascii="Ericsson Capital TT" w:hAnsi="Ericsson Capital TT" w:hint="default"/>
      </w:rPr>
    </w:lvl>
  </w:abstractNum>
  <w:abstractNum w:abstractNumId="3">
    <w:nsid w:val="082810B9"/>
    <w:multiLevelType w:val="hybridMultilevel"/>
    <w:tmpl w:val="7E54F7D4"/>
    <w:lvl w:ilvl="0" w:tplc="C6A8A4C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141A35"/>
    <w:multiLevelType w:val="hybridMultilevel"/>
    <w:tmpl w:val="4FE2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8250"/>
        </w:tabs>
        <w:ind w:left="8250" w:hanging="1304"/>
      </w:pPr>
      <w:rPr>
        <w:rFonts w:hint="default"/>
      </w:rPr>
    </w:lvl>
    <w:lvl w:ilvl="1" w:tplc="04090019" w:tentative="1">
      <w:start w:val="1"/>
      <w:numFmt w:val="lowerLetter"/>
      <w:lvlText w:val="%2."/>
      <w:lvlJc w:val="left"/>
      <w:pPr>
        <w:tabs>
          <w:tab w:val="num" w:pos="8386"/>
        </w:tabs>
        <w:ind w:left="8386" w:hanging="360"/>
      </w:pPr>
    </w:lvl>
    <w:lvl w:ilvl="2" w:tplc="0409001B" w:tentative="1">
      <w:start w:val="1"/>
      <w:numFmt w:val="lowerRoman"/>
      <w:lvlText w:val="%3."/>
      <w:lvlJc w:val="right"/>
      <w:pPr>
        <w:tabs>
          <w:tab w:val="num" w:pos="9106"/>
        </w:tabs>
        <w:ind w:left="9106" w:hanging="180"/>
      </w:pPr>
    </w:lvl>
    <w:lvl w:ilvl="3" w:tplc="0409000F" w:tentative="1">
      <w:start w:val="1"/>
      <w:numFmt w:val="decimal"/>
      <w:lvlText w:val="%4."/>
      <w:lvlJc w:val="left"/>
      <w:pPr>
        <w:tabs>
          <w:tab w:val="num" w:pos="9826"/>
        </w:tabs>
        <w:ind w:left="9826" w:hanging="360"/>
      </w:pPr>
    </w:lvl>
    <w:lvl w:ilvl="4" w:tplc="04090019" w:tentative="1">
      <w:start w:val="1"/>
      <w:numFmt w:val="lowerLetter"/>
      <w:lvlText w:val="%5."/>
      <w:lvlJc w:val="left"/>
      <w:pPr>
        <w:tabs>
          <w:tab w:val="num" w:pos="10546"/>
        </w:tabs>
        <w:ind w:left="10546" w:hanging="360"/>
      </w:pPr>
    </w:lvl>
    <w:lvl w:ilvl="5" w:tplc="0409001B" w:tentative="1">
      <w:start w:val="1"/>
      <w:numFmt w:val="lowerRoman"/>
      <w:lvlText w:val="%6."/>
      <w:lvlJc w:val="right"/>
      <w:pPr>
        <w:tabs>
          <w:tab w:val="num" w:pos="11266"/>
        </w:tabs>
        <w:ind w:left="11266" w:hanging="180"/>
      </w:pPr>
    </w:lvl>
    <w:lvl w:ilvl="6" w:tplc="0409000F" w:tentative="1">
      <w:start w:val="1"/>
      <w:numFmt w:val="decimal"/>
      <w:lvlText w:val="%7."/>
      <w:lvlJc w:val="left"/>
      <w:pPr>
        <w:tabs>
          <w:tab w:val="num" w:pos="11986"/>
        </w:tabs>
        <w:ind w:left="11986" w:hanging="360"/>
      </w:pPr>
    </w:lvl>
    <w:lvl w:ilvl="7" w:tplc="04090019" w:tentative="1">
      <w:start w:val="1"/>
      <w:numFmt w:val="lowerLetter"/>
      <w:lvlText w:val="%8."/>
      <w:lvlJc w:val="left"/>
      <w:pPr>
        <w:tabs>
          <w:tab w:val="num" w:pos="12706"/>
        </w:tabs>
        <w:ind w:left="12706" w:hanging="360"/>
      </w:pPr>
    </w:lvl>
    <w:lvl w:ilvl="8" w:tplc="0409001B" w:tentative="1">
      <w:start w:val="1"/>
      <w:numFmt w:val="lowerRoman"/>
      <w:lvlText w:val="%9."/>
      <w:lvlJc w:val="right"/>
      <w:pPr>
        <w:tabs>
          <w:tab w:val="num" w:pos="13426"/>
        </w:tabs>
        <w:ind w:left="13426"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F8153E"/>
    <w:multiLevelType w:val="hybridMultilevel"/>
    <w:tmpl w:val="65F4A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77B1C20"/>
    <w:multiLevelType w:val="hybridMultilevel"/>
    <w:tmpl w:val="4BD0B88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F23BD1"/>
    <w:multiLevelType w:val="hybridMultilevel"/>
    <w:tmpl w:val="0E76410E"/>
    <w:lvl w:ilvl="0" w:tplc="06462E04">
      <w:start w:val="1"/>
      <w:numFmt w:val="bullet"/>
      <w:lvlText w:val="›"/>
      <w:lvlJc w:val="left"/>
      <w:pPr>
        <w:tabs>
          <w:tab w:val="num" w:pos="720"/>
        </w:tabs>
        <w:ind w:left="720" w:hanging="360"/>
      </w:pPr>
      <w:rPr>
        <w:rFonts w:ascii="Ericsson Capital TT" w:hAnsi="Ericsson Capital TT" w:hint="default"/>
      </w:rPr>
    </w:lvl>
    <w:lvl w:ilvl="1" w:tplc="C2747BA0">
      <w:start w:val="1"/>
      <w:numFmt w:val="bullet"/>
      <w:lvlText w:val="›"/>
      <w:lvlJc w:val="left"/>
      <w:pPr>
        <w:tabs>
          <w:tab w:val="num" w:pos="1440"/>
        </w:tabs>
        <w:ind w:left="1440" w:hanging="360"/>
      </w:pPr>
      <w:rPr>
        <w:rFonts w:ascii="Ericsson Capital TT" w:hAnsi="Ericsson Capital TT" w:hint="default"/>
      </w:rPr>
    </w:lvl>
    <w:lvl w:ilvl="2" w:tplc="27FEC002">
      <w:start w:val="1"/>
      <w:numFmt w:val="bullet"/>
      <w:lvlText w:val="›"/>
      <w:lvlJc w:val="left"/>
      <w:pPr>
        <w:tabs>
          <w:tab w:val="num" w:pos="2160"/>
        </w:tabs>
        <w:ind w:left="2160" w:hanging="360"/>
      </w:pPr>
      <w:rPr>
        <w:rFonts w:ascii="Ericsson Capital TT" w:hAnsi="Ericsson Capital TT" w:hint="default"/>
      </w:rPr>
    </w:lvl>
    <w:lvl w:ilvl="3" w:tplc="B99E8F3A">
      <w:start w:val="2145"/>
      <w:numFmt w:val="bullet"/>
      <w:lvlText w:val="-"/>
      <w:lvlJc w:val="left"/>
      <w:pPr>
        <w:tabs>
          <w:tab w:val="num" w:pos="2880"/>
        </w:tabs>
        <w:ind w:left="2880" w:hanging="360"/>
      </w:pPr>
      <w:rPr>
        <w:rFonts w:ascii="Ericsson Capital TT" w:hAnsi="Ericsson Capital TT" w:hint="default"/>
      </w:rPr>
    </w:lvl>
    <w:lvl w:ilvl="4" w:tplc="51B60D80" w:tentative="1">
      <w:start w:val="1"/>
      <w:numFmt w:val="bullet"/>
      <w:lvlText w:val="›"/>
      <w:lvlJc w:val="left"/>
      <w:pPr>
        <w:tabs>
          <w:tab w:val="num" w:pos="3600"/>
        </w:tabs>
        <w:ind w:left="3600" w:hanging="360"/>
      </w:pPr>
      <w:rPr>
        <w:rFonts w:ascii="Ericsson Capital TT" w:hAnsi="Ericsson Capital TT" w:hint="default"/>
      </w:rPr>
    </w:lvl>
    <w:lvl w:ilvl="5" w:tplc="41745E36" w:tentative="1">
      <w:start w:val="1"/>
      <w:numFmt w:val="bullet"/>
      <w:lvlText w:val="›"/>
      <w:lvlJc w:val="left"/>
      <w:pPr>
        <w:tabs>
          <w:tab w:val="num" w:pos="4320"/>
        </w:tabs>
        <w:ind w:left="4320" w:hanging="360"/>
      </w:pPr>
      <w:rPr>
        <w:rFonts w:ascii="Ericsson Capital TT" w:hAnsi="Ericsson Capital TT" w:hint="default"/>
      </w:rPr>
    </w:lvl>
    <w:lvl w:ilvl="6" w:tplc="BE6A5CFC" w:tentative="1">
      <w:start w:val="1"/>
      <w:numFmt w:val="bullet"/>
      <w:lvlText w:val="›"/>
      <w:lvlJc w:val="left"/>
      <w:pPr>
        <w:tabs>
          <w:tab w:val="num" w:pos="5040"/>
        </w:tabs>
        <w:ind w:left="5040" w:hanging="360"/>
      </w:pPr>
      <w:rPr>
        <w:rFonts w:ascii="Ericsson Capital TT" w:hAnsi="Ericsson Capital TT" w:hint="default"/>
      </w:rPr>
    </w:lvl>
    <w:lvl w:ilvl="7" w:tplc="932C8132" w:tentative="1">
      <w:start w:val="1"/>
      <w:numFmt w:val="bullet"/>
      <w:lvlText w:val="›"/>
      <w:lvlJc w:val="left"/>
      <w:pPr>
        <w:tabs>
          <w:tab w:val="num" w:pos="5760"/>
        </w:tabs>
        <w:ind w:left="5760" w:hanging="360"/>
      </w:pPr>
      <w:rPr>
        <w:rFonts w:ascii="Ericsson Capital TT" w:hAnsi="Ericsson Capital TT" w:hint="default"/>
      </w:rPr>
    </w:lvl>
    <w:lvl w:ilvl="8" w:tplc="D662E9A2"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6"/>
  </w:num>
  <w:num w:numId="9">
    <w:abstractNumId w:val="12"/>
  </w:num>
  <w:num w:numId="10">
    <w:abstractNumId w:val="3"/>
  </w:num>
  <w:num w:numId="11">
    <w:abstractNumId w:val="14"/>
  </w:num>
  <w:num w:numId="12">
    <w:abstractNumId w:val="2"/>
  </w:num>
  <w:num w:numId="13">
    <w:abstractNumId w:val="0"/>
  </w:num>
  <w:num w:numId="14">
    <w:abstractNumId w:val="11"/>
  </w:num>
  <w:num w:numId="15">
    <w:abstractNumId w:val="15"/>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0BDB"/>
    <w:rsid w:val="00002A37"/>
    <w:rsid w:val="00005E92"/>
    <w:rsid w:val="00006446"/>
    <w:rsid w:val="00006896"/>
    <w:rsid w:val="00006D9B"/>
    <w:rsid w:val="00006EFB"/>
    <w:rsid w:val="00007CDC"/>
    <w:rsid w:val="00007D1C"/>
    <w:rsid w:val="00010459"/>
    <w:rsid w:val="00010C3C"/>
    <w:rsid w:val="00011B28"/>
    <w:rsid w:val="000126FE"/>
    <w:rsid w:val="000129D5"/>
    <w:rsid w:val="00012CA8"/>
    <w:rsid w:val="000139F1"/>
    <w:rsid w:val="00013DB8"/>
    <w:rsid w:val="00015813"/>
    <w:rsid w:val="00015D15"/>
    <w:rsid w:val="00021207"/>
    <w:rsid w:val="00021571"/>
    <w:rsid w:val="00023949"/>
    <w:rsid w:val="00025157"/>
    <w:rsid w:val="0002564D"/>
    <w:rsid w:val="000257EB"/>
    <w:rsid w:val="00025ECA"/>
    <w:rsid w:val="00027487"/>
    <w:rsid w:val="00027A47"/>
    <w:rsid w:val="000318E2"/>
    <w:rsid w:val="000325B8"/>
    <w:rsid w:val="00032F45"/>
    <w:rsid w:val="00033A11"/>
    <w:rsid w:val="00034C15"/>
    <w:rsid w:val="00034C54"/>
    <w:rsid w:val="00036BA1"/>
    <w:rsid w:val="00040295"/>
    <w:rsid w:val="00040E64"/>
    <w:rsid w:val="0004132D"/>
    <w:rsid w:val="000422E2"/>
    <w:rsid w:val="00042745"/>
    <w:rsid w:val="00042F22"/>
    <w:rsid w:val="00043335"/>
    <w:rsid w:val="000444EF"/>
    <w:rsid w:val="0004700B"/>
    <w:rsid w:val="000473FF"/>
    <w:rsid w:val="00047583"/>
    <w:rsid w:val="00051D10"/>
    <w:rsid w:val="00052A07"/>
    <w:rsid w:val="000534E3"/>
    <w:rsid w:val="00053730"/>
    <w:rsid w:val="00054083"/>
    <w:rsid w:val="0005606A"/>
    <w:rsid w:val="00056DE6"/>
    <w:rsid w:val="00057117"/>
    <w:rsid w:val="00057838"/>
    <w:rsid w:val="00057EEA"/>
    <w:rsid w:val="0006155B"/>
    <w:rsid w:val="000616E7"/>
    <w:rsid w:val="00062317"/>
    <w:rsid w:val="00063204"/>
    <w:rsid w:val="000636E1"/>
    <w:rsid w:val="0006487E"/>
    <w:rsid w:val="00065E1A"/>
    <w:rsid w:val="00065E88"/>
    <w:rsid w:val="0006613D"/>
    <w:rsid w:val="0006717E"/>
    <w:rsid w:val="00070AC0"/>
    <w:rsid w:val="000720B9"/>
    <w:rsid w:val="00072753"/>
    <w:rsid w:val="00072C19"/>
    <w:rsid w:val="00075C1E"/>
    <w:rsid w:val="00077873"/>
    <w:rsid w:val="00077E5F"/>
    <w:rsid w:val="0008036A"/>
    <w:rsid w:val="00080B44"/>
    <w:rsid w:val="00081AE6"/>
    <w:rsid w:val="00083FAC"/>
    <w:rsid w:val="00085044"/>
    <w:rsid w:val="000855EB"/>
    <w:rsid w:val="00085B52"/>
    <w:rsid w:val="000866F2"/>
    <w:rsid w:val="00087F19"/>
    <w:rsid w:val="00087FF7"/>
    <w:rsid w:val="0009009F"/>
    <w:rsid w:val="000902A1"/>
    <w:rsid w:val="00090882"/>
    <w:rsid w:val="00091557"/>
    <w:rsid w:val="0009234E"/>
    <w:rsid w:val="000924C1"/>
    <w:rsid w:val="000924F0"/>
    <w:rsid w:val="00092A9B"/>
    <w:rsid w:val="00093474"/>
    <w:rsid w:val="00093590"/>
    <w:rsid w:val="00094033"/>
    <w:rsid w:val="00094449"/>
    <w:rsid w:val="000944D9"/>
    <w:rsid w:val="00094F33"/>
    <w:rsid w:val="0009510F"/>
    <w:rsid w:val="000A1B7B"/>
    <w:rsid w:val="000A25E2"/>
    <w:rsid w:val="000A331D"/>
    <w:rsid w:val="000A51F4"/>
    <w:rsid w:val="000A56F2"/>
    <w:rsid w:val="000A5F1C"/>
    <w:rsid w:val="000A631D"/>
    <w:rsid w:val="000A6889"/>
    <w:rsid w:val="000B00CF"/>
    <w:rsid w:val="000B1003"/>
    <w:rsid w:val="000B12E6"/>
    <w:rsid w:val="000B16BC"/>
    <w:rsid w:val="000B1E8B"/>
    <w:rsid w:val="000B226E"/>
    <w:rsid w:val="000B2719"/>
    <w:rsid w:val="000B37DA"/>
    <w:rsid w:val="000B38E7"/>
    <w:rsid w:val="000B3A8F"/>
    <w:rsid w:val="000B4AB9"/>
    <w:rsid w:val="000B58C3"/>
    <w:rsid w:val="000B5B44"/>
    <w:rsid w:val="000B61E9"/>
    <w:rsid w:val="000B6A58"/>
    <w:rsid w:val="000B7297"/>
    <w:rsid w:val="000C165A"/>
    <w:rsid w:val="000C1763"/>
    <w:rsid w:val="000C217E"/>
    <w:rsid w:val="000C232D"/>
    <w:rsid w:val="000C2E19"/>
    <w:rsid w:val="000C2E9D"/>
    <w:rsid w:val="000C3107"/>
    <w:rsid w:val="000C510E"/>
    <w:rsid w:val="000C59EE"/>
    <w:rsid w:val="000C65DE"/>
    <w:rsid w:val="000D0D07"/>
    <w:rsid w:val="000D23AB"/>
    <w:rsid w:val="000D2C2B"/>
    <w:rsid w:val="000D3C86"/>
    <w:rsid w:val="000D4797"/>
    <w:rsid w:val="000D5C0E"/>
    <w:rsid w:val="000D7DD3"/>
    <w:rsid w:val="000D7E1E"/>
    <w:rsid w:val="000D7E71"/>
    <w:rsid w:val="000D7FE4"/>
    <w:rsid w:val="000E0527"/>
    <w:rsid w:val="000E1E92"/>
    <w:rsid w:val="000E5A4E"/>
    <w:rsid w:val="000E7691"/>
    <w:rsid w:val="000E7A3D"/>
    <w:rsid w:val="000F06D6"/>
    <w:rsid w:val="000F0EB1"/>
    <w:rsid w:val="000F1106"/>
    <w:rsid w:val="000F30E2"/>
    <w:rsid w:val="000F3BE9"/>
    <w:rsid w:val="000F3F6C"/>
    <w:rsid w:val="000F61F7"/>
    <w:rsid w:val="000F63D8"/>
    <w:rsid w:val="000F6DF3"/>
    <w:rsid w:val="000F739C"/>
    <w:rsid w:val="000F7E48"/>
    <w:rsid w:val="001005FF"/>
    <w:rsid w:val="00100619"/>
    <w:rsid w:val="00100F45"/>
    <w:rsid w:val="001015B3"/>
    <w:rsid w:val="0010223A"/>
    <w:rsid w:val="001031AB"/>
    <w:rsid w:val="0010326C"/>
    <w:rsid w:val="001059E5"/>
    <w:rsid w:val="00105DDD"/>
    <w:rsid w:val="001062FB"/>
    <w:rsid w:val="001063E6"/>
    <w:rsid w:val="00106F57"/>
    <w:rsid w:val="00110F7C"/>
    <w:rsid w:val="0011173A"/>
    <w:rsid w:val="00112B49"/>
    <w:rsid w:val="00112D2F"/>
    <w:rsid w:val="00113BE3"/>
    <w:rsid w:val="00113CF4"/>
    <w:rsid w:val="001153EA"/>
    <w:rsid w:val="00115643"/>
    <w:rsid w:val="001163A5"/>
    <w:rsid w:val="00116765"/>
    <w:rsid w:val="00120F06"/>
    <w:rsid w:val="00120FCB"/>
    <w:rsid w:val="001219F5"/>
    <w:rsid w:val="00121A20"/>
    <w:rsid w:val="0012334B"/>
    <w:rsid w:val="0012377F"/>
    <w:rsid w:val="00124314"/>
    <w:rsid w:val="00126B4A"/>
    <w:rsid w:val="00127AC6"/>
    <w:rsid w:val="00132E02"/>
    <w:rsid w:val="00132FD0"/>
    <w:rsid w:val="001335B7"/>
    <w:rsid w:val="001344C0"/>
    <w:rsid w:val="001346FA"/>
    <w:rsid w:val="0013491B"/>
    <w:rsid w:val="00134AE8"/>
    <w:rsid w:val="001350FD"/>
    <w:rsid w:val="00135252"/>
    <w:rsid w:val="001356BC"/>
    <w:rsid w:val="00137635"/>
    <w:rsid w:val="00137A69"/>
    <w:rsid w:val="00137AB5"/>
    <w:rsid w:val="00137F0B"/>
    <w:rsid w:val="00143008"/>
    <w:rsid w:val="00143178"/>
    <w:rsid w:val="00143205"/>
    <w:rsid w:val="001454D4"/>
    <w:rsid w:val="00146517"/>
    <w:rsid w:val="00146F1D"/>
    <w:rsid w:val="0015023D"/>
    <w:rsid w:val="00150956"/>
    <w:rsid w:val="00150B95"/>
    <w:rsid w:val="00150DB6"/>
    <w:rsid w:val="0015184F"/>
    <w:rsid w:val="00151E23"/>
    <w:rsid w:val="0015269D"/>
    <w:rsid w:val="001526E0"/>
    <w:rsid w:val="001551B5"/>
    <w:rsid w:val="001565D4"/>
    <w:rsid w:val="0016112E"/>
    <w:rsid w:val="00161723"/>
    <w:rsid w:val="00161752"/>
    <w:rsid w:val="001645C6"/>
    <w:rsid w:val="001647DE"/>
    <w:rsid w:val="00164ABF"/>
    <w:rsid w:val="00164B27"/>
    <w:rsid w:val="001652D4"/>
    <w:rsid w:val="001659C1"/>
    <w:rsid w:val="0016708A"/>
    <w:rsid w:val="00170F91"/>
    <w:rsid w:val="0017147D"/>
    <w:rsid w:val="0017156B"/>
    <w:rsid w:val="001728E0"/>
    <w:rsid w:val="001731CE"/>
    <w:rsid w:val="00173A8E"/>
    <w:rsid w:val="00173D33"/>
    <w:rsid w:val="00174C85"/>
    <w:rsid w:val="00175E10"/>
    <w:rsid w:val="00176260"/>
    <w:rsid w:val="00176C93"/>
    <w:rsid w:val="00180272"/>
    <w:rsid w:val="0018027A"/>
    <w:rsid w:val="0018143F"/>
    <w:rsid w:val="00181F35"/>
    <w:rsid w:val="00184862"/>
    <w:rsid w:val="001872D9"/>
    <w:rsid w:val="0018760E"/>
    <w:rsid w:val="00190551"/>
    <w:rsid w:val="001906D7"/>
    <w:rsid w:val="00190AC1"/>
    <w:rsid w:val="0019341A"/>
    <w:rsid w:val="00194F51"/>
    <w:rsid w:val="00195927"/>
    <w:rsid w:val="00195FB8"/>
    <w:rsid w:val="00196918"/>
    <w:rsid w:val="001969F2"/>
    <w:rsid w:val="00197676"/>
    <w:rsid w:val="00197D8B"/>
    <w:rsid w:val="00197DF9"/>
    <w:rsid w:val="001A1987"/>
    <w:rsid w:val="001A21E0"/>
    <w:rsid w:val="001A2564"/>
    <w:rsid w:val="001A3EE4"/>
    <w:rsid w:val="001A45C9"/>
    <w:rsid w:val="001A5E0E"/>
    <w:rsid w:val="001A6121"/>
    <w:rsid w:val="001A6173"/>
    <w:rsid w:val="001A6CBA"/>
    <w:rsid w:val="001A78F7"/>
    <w:rsid w:val="001A794A"/>
    <w:rsid w:val="001B0D97"/>
    <w:rsid w:val="001B1458"/>
    <w:rsid w:val="001B5A5D"/>
    <w:rsid w:val="001B609B"/>
    <w:rsid w:val="001B640C"/>
    <w:rsid w:val="001B7682"/>
    <w:rsid w:val="001C0C0B"/>
    <w:rsid w:val="001C0D46"/>
    <w:rsid w:val="001C1291"/>
    <w:rsid w:val="001C1CE5"/>
    <w:rsid w:val="001C3345"/>
    <w:rsid w:val="001C3D2A"/>
    <w:rsid w:val="001C462D"/>
    <w:rsid w:val="001C5ADB"/>
    <w:rsid w:val="001C5AE6"/>
    <w:rsid w:val="001C6322"/>
    <w:rsid w:val="001C791F"/>
    <w:rsid w:val="001D2B70"/>
    <w:rsid w:val="001D2D59"/>
    <w:rsid w:val="001D3636"/>
    <w:rsid w:val="001D4FBB"/>
    <w:rsid w:val="001D51BA"/>
    <w:rsid w:val="001D6342"/>
    <w:rsid w:val="001D6BD2"/>
    <w:rsid w:val="001D6D53"/>
    <w:rsid w:val="001D6E94"/>
    <w:rsid w:val="001E02A4"/>
    <w:rsid w:val="001E07C0"/>
    <w:rsid w:val="001E09A0"/>
    <w:rsid w:val="001E0AC3"/>
    <w:rsid w:val="001E1617"/>
    <w:rsid w:val="001E2C07"/>
    <w:rsid w:val="001E2E4D"/>
    <w:rsid w:val="001E58E2"/>
    <w:rsid w:val="001E5EA2"/>
    <w:rsid w:val="001E79B9"/>
    <w:rsid w:val="001E7AED"/>
    <w:rsid w:val="001E7E1F"/>
    <w:rsid w:val="001F285E"/>
    <w:rsid w:val="001F3916"/>
    <w:rsid w:val="001F4A0E"/>
    <w:rsid w:val="001F5088"/>
    <w:rsid w:val="001F54C5"/>
    <w:rsid w:val="001F662C"/>
    <w:rsid w:val="001F7074"/>
    <w:rsid w:val="00200490"/>
    <w:rsid w:val="0020098E"/>
    <w:rsid w:val="00201F3A"/>
    <w:rsid w:val="0020311A"/>
    <w:rsid w:val="00203F96"/>
    <w:rsid w:val="00204458"/>
    <w:rsid w:val="002063AB"/>
    <w:rsid w:val="002065CC"/>
    <w:rsid w:val="002069B2"/>
    <w:rsid w:val="00206CDA"/>
    <w:rsid w:val="00207C31"/>
    <w:rsid w:val="00207FA3"/>
    <w:rsid w:val="00210E51"/>
    <w:rsid w:val="0021200B"/>
    <w:rsid w:val="00213A4E"/>
    <w:rsid w:val="00214BA3"/>
    <w:rsid w:val="00214DA8"/>
    <w:rsid w:val="00215423"/>
    <w:rsid w:val="0021570A"/>
    <w:rsid w:val="002158FA"/>
    <w:rsid w:val="00215C6C"/>
    <w:rsid w:val="00215FC7"/>
    <w:rsid w:val="00217EF5"/>
    <w:rsid w:val="00220600"/>
    <w:rsid w:val="00220C9B"/>
    <w:rsid w:val="002224DB"/>
    <w:rsid w:val="00223FCB"/>
    <w:rsid w:val="002252C3"/>
    <w:rsid w:val="00225C54"/>
    <w:rsid w:val="00226A49"/>
    <w:rsid w:val="00230765"/>
    <w:rsid w:val="00230AFC"/>
    <w:rsid w:val="0023154D"/>
    <w:rsid w:val="002319E4"/>
    <w:rsid w:val="00234081"/>
    <w:rsid w:val="00234B92"/>
    <w:rsid w:val="00235632"/>
    <w:rsid w:val="00235872"/>
    <w:rsid w:val="00237531"/>
    <w:rsid w:val="00237C58"/>
    <w:rsid w:val="00241559"/>
    <w:rsid w:val="0024273C"/>
    <w:rsid w:val="002435B3"/>
    <w:rsid w:val="002458EB"/>
    <w:rsid w:val="0024605A"/>
    <w:rsid w:val="002500C8"/>
    <w:rsid w:val="00250197"/>
    <w:rsid w:val="0025282F"/>
    <w:rsid w:val="0025328F"/>
    <w:rsid w:val="00254AB8"/>
    <w:rsid w:val="00255D91"/>
    <w:rsid w:val="00257543"/>
    <w:rsid w:val="00260F33"/>
    <w:rsid w:val="002617E7"/>
    <w:rsid w:val="00262401"/>
    <w:rsid w:val="00264228"/>
    <w:rsid w:val="00264334"/>
    <w:rsid w:val="0026473E"/>
    <w:rsid w:val="002653BB"/>
    <w:rsid w:val="00266214"/>
    <w:rsid w:val="00266ABB"/>
    <w:rsid w:val="00267C83"/>
    <w:rsid w:val="00267EF6"/>
    <w:rsid w:val="00271295"/>
    <w:rsid w:val="0027144F"/>
    <w:rsid w:val="00271721"/>
    <w:rsid w:val="00271F3A"/>
    <w:rsid w:val="00272227"/>
    <w:rsid w:val="00272E30"/>
    <w:rsid w:val="002730A8"/>
    <w:rsid w:val="00273278"/>
    <w:rsid w:val="002737F4"/>
    <w:rsid w:val="00274EBD"/>
    <w:rsid w:val="002802B0"/>
    <w:rsid w:val="002805F5"/>
    <w:rsid w:val="00280751"/>
    <w:rsid w:val="0028280A"/>
    <w:rsid w:val="00283910"/>
    <w:rsid w:val="0028463F"/>
    <w:rsid w:val="00285724"/>
    <w:rsid w:val="00286ACD"/>
    <w:rsid w:val="002871E9"/>
    <w:rsid w:val="00287321"/>
    <w:rsid w:val="002873D5"/>
    <w:rsid w:val="00287838"/>
    <w:rsid w:val="002907B5"/>
    <w:rsid w:val="00290FD0"/>
    <w:rsid w:val="00291F98"/>
    <w:rsid w:val="00292EB7"/>
    <w:rsid w:val="0029601D"/>
    <w:rsid w:val="00296227"/>
    <w:rsid w:val="00296B23"/>
    <w:rsid w:val="00296F44"/>
    <w:rsid w:val="00297563"/>
    <w:rsid w:val="0029777D"/>
    <w:rsid w:val="002A055E"/>
    <w:rsid w:val="002A1D4E"/>
    <w:rsid w:val="002A2869"/>
    <w:rsid w:val="002A3054"/>
    <w:rsid w:val="002A3C01"/>
    <w:rsid w:val="002A4635"/>
    <w:rsid w:val="002A5BB6"/>
    <w:rsid w:val="002A674C"/>
    <w:rsid w:val="002A6BF3"/>
    <w:rsid w:val="002B041E"/>
    <w:rsid w:val="002B24D6"/>
    <w:rsid w:val="002B2DDA"/>
    <w:rsid w:val="002B57EF"/>
    <w:rsid w:val="002B63C3"/>
    <w:rsid w:val="002B68D4"/>
    <w:rsid w:val="002C1E4D"/>
    <w:rsid w:val="002C3074"/>
    <w:rsid w:val="002C41E6"/>
    <w:rsid w:val="002C4CB3"/>
    <w:rsid w:val="002C6806"/>
    <w:rsid w:val="002C6AB7"/>
    <w:rsid w:val="002D071A"/>
    <w:rsid w:val="002D2278"/>
    <w:rsid w:val="002D2534"/>
    <w:rsid w:val="002D34B2"/>
    <w:rsid w:val="002D41CA"/>
    <w:rsid w:val="002D44FE"/>
    <w:rsid w:val="002D7637"/>
    <w:rsid w:val="002E01D6"/>
    <w:rsid w:val="002E1109"/>
    <w:rsid w:val="002E17F2"/>
    <w:rsid w:val="002E1B7F"/>
    <w:rsid w:val="002E1CD6"/>
    <w:rsid w:val="002E2378"/>
    <w:rsid w:val="002E51DA"/>
    <w:rsid w:val="002E5965"/>
    <w:rsid w:val="002E5999"/>
    <w:rsid w:val="002E62C1"/>
    <w:rsid w:val="002E7394"/>
    <w:rsid w:val="002E7CAE"/>
    <w:rsid w:val="002F1954"/>
    <w:rsid w:val="002F2771"/>
    <w:rsid w:val="002F37A1"/>
    <w:rsid w:val="002F37A9"/>
    <w:rsid w:val="002F3C0C"/>
    <w:rsid w:val="002F5431"/>
    <w:rsid w:val="002F5F6A"/>
    <w:rsid w:val="002F6A27"/>
    <w:rsid w:val="002F6E60"/>
    <w:rsid w:val="002F7480"/>
    <w:rsid w:val="00301CE6"/>
    <w:rsid w:val="0030256B"/>
    <w:rsid w:val="00302622"/>
    <w:rsid w:val="00302896"/>
    <w:rsid w:val="0030501F"/>
    <w:rsid w:val="00307BA1"/>
    <w:rsid w:val="0031097F"/>
    <w:rsid w:val="00311702"/>
    <w:rsid w:val="0031195D"/>
    <w:rsid w:val="00311E82"/>
    <w:rsid w:val="00313006"/>
    <w:rsid w:val="00313FD6"/>
    <w:rsid w:val="003143BD"/>
    <w:rsid w:val="00314E7C"/>
    <w:rsid w:val="00317992"/>
    <w:rsid w:val="003203ED"/>
    <w:rsid w:val="00322B5F"/>
    <w:rsid w:val="00322C9F"/>
    <w:rsid w:val="0032460C"/>
    <w:rsid w:val="00324D23"/>
    <w:rsid w:val="00325AB9"/>
    <w:rsid w:val="00326F33"/>
    <w:rsid w:val="00327DD4"/>
    <w:rsid w:val="00330752"/>
    <w:rsid w:val="00331751"/>
    <w:rsid w:val="003322D6"/>
    <w:rsid w:val="00332427"/>
    <w:rsid w:val="00332466"/>
    <w:rsid w:val="0033415E"/>
    <w:rsid w:val="00334579"/>
    <w:rsid w:val="00334BE9"/>
    <w:rsid w:val="00335858"/>
    <w:rsid w:val="00336BDA"/>
    <w:rsid w:val="00337F4A"/>
    <w:rsid w:val="003402D6"/>
    <w:rsid w:val="00342BD7"/>
    <w:rsid w:val="00342D2C"/>
    <w:rsid w:val="003431A0"/>
    <w:rsid w:val="00344F80"/>
    <w:rsid w:val="00345E05"/>
    <w:rsid w:val="00346BC1"/>
    <w:rsid w:val="00346DB5"/>
    <w:rsid w:val="00347311"/>
    <w:rsid w:val="003475B3"/>
    <w:rsid w:val="003477B1"/>
    <w:rsid w:val="003506C1"/>
    <w:rsid w:val="00350FF0"/>
    <w:rsid w:val="0035222C"/>
    <w:rsid w:val="00352312"/>
    <w:rsid w:val="003550F5"/>
    <w:rsid w:val="00356AAA"/>
    <w:rsid w:val="00357380"/>
    <w:rsid w:val="00357ABE"/>
    <w:rsid w:val="003602D9"/>
    <w:rsid w:val="0036043E"/>
    <w:rsid w:val="003604CE"/>
    <w:rsid w:val="00360869"/>
    <w:rsid w:val="003611A3"/>
    <w:rsid w:val="00361EE1"/>
    <w:rsid w:val="00362517"/>
    <w:rsid w:val="00363B34"/>
    <w:rsid w:val="00370DA0"/>
    <w:rsid w:val="00370E47"/>
    <w:rsid w:val="00372D83"/>
    <w:rsid w:val="00373F93"/>
    <w:rsid w:val="003742AC"/>
    <w:rsid w:val="00376149"/>
    <w:rsid w:val="00377CE1"/>
    <w:rsid w:val="0038162E"/>
    <w:rsid w:val="00383AA4"/>
    <w:rsid w:val="00383E86"/>
    <w:rsid w:val="00385BF0"/>
    <w:rsid w:val="0039375A"/>
    <w:rsid w:val="003939FF"/>
    <w:rsid w:val="00394226"/>
    <w:rsid w:val="0039532C"/>
    <w:rsid w:val="00396E63"/>
    <w:rsid w:val="00397BC9"/>
    <w:rsid w:val="003A2223"/>
    <w:rsid w:val="003A2A0F"/>
    <w:rsid w:val="003A45A1"/>
    <w:rsid w:val="003A5A3D"/>
    <w:rsid w:val="003A5B0A"/>
    <w:rsid w:val="003A6146"/>
    <w:rsid w:val="003A66EB"/>
    <w:rsid w:val="003A6BAC"/>
    <w:rsid w:val="003A7717"/>
    <w:rsid w:val="003A7EF3"/>
    <w:rsid w:val="003B005B"/>
    <w:rsid w:val="003B159C"/>
    <w:rsid w:val="003B1B75"/>
    <w:rsid w:val="003B235B"/>
    <w:rsid w:val="003B308B"/>
    <w:rsid w:val="003B369F"/>
    <w:rsid w:val="003B36A3"/>
    <w:rsid w:val="003B4456"/>
    <w:rsid w:val="003B5ABD"/>
    <w:rsid w:val="003B626D"/>
    <w:rsid w:val="003B7FE5"/>
    <w:rsid w:val="003C1072"/>
    <w:rsid w:val="003C11C8"/>
    <w:rsid w:val="003C22E3"/>
    <w:rsid w:val="003C2702"/>
    <w:rsid w:val="003C2AAD"/>
    <w:rsid w:val="003C3E61"/>
    <w:rsid w:val="003C407F"/>
    <w:rsid w:val="003C41B6"/>
    <w:rsid w:val="003C48DE"/>
    <w:rsid w:val="003C4B6B"/>
    <w:rsid w:val="003C6B68"/>
    <w:rsid w:val="003C7806"/>
    <w:rsid w:val="003C7F5C"/>
    <w:rsid w:val="003D109F"/>
    <w:rsid w:val="003D11AE"/>
    <w:rsid w:val="003D2478"/>
    <w:rsid w:val="003D2C28"/>
    <w:rsid w:val="003D345F"/>
    <w:rsid w:val="003D3C45"/>
    <w:rsid w:val="003D3E3B"/>
    <w:rsid w:val="003D5B1F"/>
    <w:rsid w:val="003D6D58"/>
    <w:rsid w:val="003D7F58"/>
    <w:rsid w:val="003E0097"/>
    <w:rsid w:val="003E01AD"/>
    <w:rsid w:val="003E11B7"/>
    <w:rsid w:val="003E12DA"/>
    <w:rsid w:val="003E15FA"/>
    <w:rsid w:val="003E4AC5"/>
    <w:rsid w:val="003E55E4"/>
    <w:rsid w:val="003E5B32"/>
    <w:rsid w:val="003E74E3"/>
    <w:rsid w:val="003E7974"/>
    <w:rsid w:val="003F05C7"/>
    <w:rsid w:val="003F10D6"/>
    <w:rsid w:val="003F15BD"/>
    <w:rsid w:val="003F22E4"/>
    <w:rsid w:val="003F2CD4"/>
    <w:rsid w:val="003F3FAE"/>
    <w:rsid w:val="003F61EB"/>
    <w:rsid w:val="003F6501"/>
    <w:rsid w:val="003F6BBE"/>
    <w:rsid w:val="003F70F8"/>
    <w:rsid w:val="003F76E1"/>
    <w:rsid w:val="004000E8"/>
    <w:rsid w:val="00400420"/>
    <w:rsid w:val="00400EC5"/>
    <w:rsid w:val="00401C1D"/>
    <w:rsid w:val="00402E2B"/>
    <w:rsid w:val="00403F52"/>
    <w:rsid w:val="00403FF6"/>
    <w:rsid w:val="0040456C"/>
    <w:rsid w:val="00405109"/>
    <w:rsid w:val="0040512B"/>
    <w:rsid w:val="004053E8"/>
    <w:rsid w:val="004057B2"/>
    <w:rsid w:val="00405CA5"/>
    <w:rsid w:val="004067D7"/>
    <w:rsid w:val="0040681A"/>
    <w:rsid w:val="004068A9"/>
    <w:rsid w:val="00407CD3"/>
    <w:rsid w:val="00410134"/>
    <w:rsid w:val="004106F0"/>
    <w:rsid w:val="00410B72"/>
    <w:rsid w:val="00410F18"/>
    <w:rsid w:val="004117A3"/>
    <w:rsid w:val="0041263E"/>
    <w:rsid w:val="00412655"/>
    <w:rsid w:val="00412936"/>
    <w:rsid w:val="00413AAC"/>
    <w:rsid w:val="00414F1B"/>
    <w:rsid w:val="00421105"/>
    <w:rsid w:val="00421D04"/>
    <w:rsid w:val="00421DC0"/>
    <w:rsid w:val="004242F4"/>
    <w:rsid w:val="00425968"/>
    <w:rsid w:val="00426279"/>
    <w:rsid w:val="004262C3"/>
    <w:rsid w:val="00426AD0"/>
    <w:rsid w:val="00427248"/>
    <w:rsid w:val="00432678"/>
    <w:rsid w:val="0043648D"/>
    <w:rsid w:val="00437447"/>
    <w:rsid w:val="004406A5"/>
    <w:rsid w:val="00440B28"/>
    <w:rsid w:val="00441A92"/>
    <w:rsid w:val="00442932"/>
    <w:rsid w:val="004433AD"/>
    <w:rsid w:val="004436C3"/>
    <w:rsid w:val="00444F56"/>
    <w:rsid w:val="0044542D"/>
    <w:rsid w:val="00446081"/>
    <w:rsid w:val="00446488"/>
    <w:rsid w:val="00446EE8"/>
    <w:rsid w:val="004517AA"/>
    <w:rsid w:val="00451B74"/>
    <w:rsid w:val="00451CF8"/>
    <w:rsid w:val="00451FA2"/>
    <w:rsid w:val="00452CAC"/>
    <w:rsid w:val="00452E13"/>
    <w:rsid w:val="00453141"/>
    <w:rsid w:val="004546F4"/>
    <w:rsid w:val="004554B4"/>
    <w:rsid w:val="00455B1E"/>
    <w:rsid w:val="0045647A"/>
    <w:rsid w:val="00456B6C"/>
    <w:rsid w:val="00457565"/>
    <w:rsid w:val="00457B71"/>
    <w:rsid w:val="004669E2"/>
    <w:rsid w:val="00470C31"/>
    <w:rsid w:val="00472CCF"/>
    <w:rsid w:val="004732CB"/>
    <w:rsid w:val="004733C4"/>
    <w:rsid w:val="004734D0"/>
    <w:rsid w:val="00473B68"/>
    <w:rsid w:val="0047556B"/>
    <w:rsid w:val="00475A0D"/>
    <w:rsid w:val="004770BE"/>
    <w:rsid w:val="00477768"/>
    <w:rsid w:val="00480448"/>
    <w:rsid w:val="00482394"/>
    <w:rsid w:val="0048759F"/>
    <w:rsid w:val="0049038B"/>
    <w:rsid w:val="00491736"/>
    <w:rsid w:val="00491E15"/>
    <w:rsid w:val="0049237B"/>
    <w:rsid w:val="00492BC5"/>
    <w:rsid w:val="00493226"/>
    <w:rsid w:val="00493AE2"/>
    <w:rsid w:val="004964F1"/>
    <w:rsid w:val="004967B0"/>
    <w:rsid w:val="00496F22"/>
    <w:rsid w:val="00497E8F"/>
    <w:rsid w:val="004A0FF2"/>
    <w:rsid w:val="004A12F9"/>
    <w:rsid w:val="004A16BC"/>
    <w:rsid w:val="004A1FE5"/>
    <w:rsid w:val="004A2B94"/>
    <w:rsid w:val="004B18C1"/>
    <w:rsid w:val="004B1B1A"/>
    <w:rsid w:val="004B1BE0"/>
    <w:rsid w:val="004B21F9"/>
    <w:rsid w:val="004B2845"/>
    <w:rsid w:val="004B2FB1"/>
    <w:rsid w:val="004B50FA"/>
    <w:rsid w:val="004B5B3C"/>
    <w:rsid w:val="004B5D0A"/>
    <w:rsid w:val="004B676C"/>
    <w:rsid w:val="004B7C0C"/>
    <w:rsid w:val="004C036C"/>
    <w:rsid w:val="004C1D4A"/>
    <w:rsid w:val="004C2FE0"/>
    <w:rsid w:val="004C3898"/>
    <w:rsid w:val="004C3D5E"/>
    <w:rsid w:val="004C3F93"/>
    <w:rsid w:val="004C5642"/>
    <w:rsid w:val="004C693D"/>
    <w:rsid w:val="004D0D67"/>
    <w:rsid w:val="004D30FA"/>
    <w:rsid w:val="004D36B1"/>
    <w:rsid w:val="004D77BE"/>
    <w:rsid w:val="004D7EBD"/>
    <w:rsid w:val="004E2680"/>
    <w:rsid w:val="004E28F9"/>
    <w:rsid w:val="004E462E"/>
    <w:rsid w:val="004E4C4B"/>
    <w:rsid w:val="004E56DC"/>
    <w:rsid w:val="004E6126"/>
    <w:rsid w:val="004E63CF"/>
    <w:rsid w:val="004E6A3D"/>
    <w:rsid w:val="004E6A4A"/>
    <w:rsid w:val="004E76F4"/>
    <w:rsid w:val="004F0B4E"/>
    <w:rsid w:val="004F0B6C"/>
    <w:rsid w:val="004F2078"/>
    <w:rsid w:val="004F4DA3"/>
    <w:rsid w:val="004F56A2"/>
    <w:rsid w:val="004F5A8E"/>
    <w:rsid w:val="004F619E"/>
    <w:rsid w:val="004F7355"/>
    <w:rsid w:val="005028DF"/>
    <w:rsid w:val="00502D81"/>
    <w:rsid w:val="00506557"/>
    <w:rsid w:val="0050677A"/>
    <w:rsid w:val="00506AF6"/>
    <w:rsid w:val="00506E07"/>
    <w:rsid w:val="005108D8"/>
    <w:rsid w:val="005112D5"/>
    <w:rsid w:val="005116F9"/>
    <w:rsid w:val="005123D5"/>
    <w:rsid w:val="00513F72"/>
    <w:rsid w:val="005153A7"/>
    <w:rsid w:val="0051792F"/>
    <w:rsid w:val="00521524"/>
    <w:rsid w:val="00521667"/>
    <w:rsid w:val="005219CF"/>
    <w:rsid w:val="00523118"/>
    <w:rsid w:val="0052390B"/>
    <w:rsid w:val="00523D57"/>
    <w:rsid w:val="00524455"/>
    <w:rsid w:val="00525BCF"/>
    <w:rsid w:val="0052769E"/>
    <w:rsid w:val="00527801"/>
    <w:rsid w:val="00527B41"/>
    <w:rsid w:val="005300E1"/>
    <w:rsid w:val="00530FD1"/>
    <w:rsid w:val="00531C63"/>
    <w:rsid w:val="005337C4"/>
    <w:rsid w:val="00534339"/>
    <w:rsid w:val="00534B59"/>
    <w:rsid w:val="0053530D"/>
    <w:rsid w:val="00535C98"/>
    <w:rsid w:val="00536191"/>
    <w:rsid w:val="005366E7"/>
    <w:rsid w:val="00536759"/>
    <w:rsid w:val="0053729F"/>
    <w:rsid w:val="00537C62"/>
    <w:rsid w:val="00537F1B"/>
    <w:rsid w:val="005403C8"/>
    <w:rsid w:val="00541E3E"/>
    <w:rsid w:val="005429B6"/>
    <w:rsid w:val="00546970"/>
    <w:rsid w:val="0054719D"/>
    <w:rsid w:val="005502F7"/>
    <w:rsid w:val="0055232B"/>
    <w:rsid w:val="0055346E"/>
    <w:rsid w:val="005546CA"/>
    <w:rsid w:val="00554E19"/>
    <w:rsid w:val="00555747"/>
    <w:rsid w:val="005564F9"/>
    <w:rsid w:val="005577AB"/>
    <w:rsid w:val="005577C0"/>
    <w:rsid w:val="00557C94"/>
    <w:rsid w:val="0056107D"/>
    <w:rsid w:val="0056121F"/>
    <w:rsid w:val="00562191"/>
    <w:rsid w:val="00564CFE"/>
    <w:rsid w:val="00565F01"/>
    <w:rsid w:val="00566657"/>
    <w:rsid w:val="0057150F"/>
    <w:rsid w:val="00571A9F"/>
    <w:rsid w:val="00572505"/>
    <w:rsid w:val="0057421A"/>
    <w:rsid w:val="005748EE"/>
    <w:rsid w:val="005756CE"/>
    <w:rsid w:val="0057621F"/>
    <w:rsid w:val="00577C72"/>
    <w:rsid w:val="00580169"/>
    <w:rsid w:val="0058109A"/>
    <w:rsid w:val="005820A8"/>
    <w:rsid w:val="00582809"/>
    <w:rsid w:val="005842A2"/>
    <w:rsid w:val="0058471B"/>
    <w:rsid w:val="00584918"/>
    <w:rsid w:val="00584C5C"/>
    <w:rsid w:val="00586651"/>
    <w:rsid w:val="0058798C"/>
    <w:rsid w:val="005879AB"/>
    <w:rsid w:val="00587FA9"/>
    <w:rsid w:val="005900FA"/>
    <w:rsid w:val="00590963"/>
    <w:rsid w:val="00591A54"/>
    <w:rsid w:val="0059259B"/>
    <w:rsid w:val="005935A4"/>
    <w:rsid w:val="005948C2"/>
    <w:rsid w:val="0059529B"/>
    <w:rsid w:val="00595DCA"/>
    <w:rsid w:val="0059779B"/>
    <w:rsid w:val="005A0DA4"/>
    <w:rsid w:val="005A209A"/>
    <w:rsid w:val="005A2421"/>
    <w:rsid w:val="005A2F98"/>
    <w:rsid w:val="005A31E3"/>
    <w:rsid w:val="005A4A62"/>
    <w:rsid w:val="005A5ABF"/>
    <w:rsid w:val="005A5DB4"/>
    <w:rsid w:val="005A60A9"/>
    <w:rsid w:val="005A662D"/>
    <w:rsid w:val="005A70BE"/>
    <w:rsid w:val="005B28D4"/>
    <w:rsid w:val="005B35D7"/>
    <w:rsid w:val="005B3707"/>
    <w:rsid w:val="005B392A"/>
    <w:rsid w:val="005B3AA3"/>
    <w:rsid w:val="005B3B1F"/>
    <w:rsid w:val="005B3B90"/>
    <w:rsid w:val="005B6F83"/>
    <w:rsid w:val="005C511D"/>
    <w:rsid w:val="005C5902"/>
    <w:rsid w:val="005C74FB"/>
    <w:rsid w:val="005D09C4"/>
    <w:rsid w:val="005D0DE6"/>
    <w:rsid w:val="005D1602"/>
    <w:rsid w:val="005D4F57"/>
    <w:rsid w:val="005D741D"/>
    <w:rsid w:val="005E1C56"/>
    <w:rsid w:val="005E1ECF"/>
    <w:rsid w:val="005E3427"/>
    <w:rsid w:val="005E385F"/>
    <w:rsid w:val="005E409C"/>
    <w:rsid w:val="005E527E"/>
    <w:rsid w:val="005E5834"/>
    <w:rsid w:val="005E5B81"/>
    <w:rsid w:val="005F0E7D"/>
    <w:rsid w:val="005F1D3E"/>
    <w:rsid w:val="005F2CB1"/>
    <w:rsid w:val="005F3025"/>
    <w:rsid w:val="005F5280"/>
    <w:rsid w:val="005F52F7"/>
    <w:rsid w:val="005F56AF"/>
    <w:rsid w:val="005F618C"/>
    <w:rsid w:val="005F70BD"/>
    <w:rsid w:val="0060283C"/>
    <w:rsid w:val="00604F14"/>
    <w:rsid w:val="00606827"/>
    <w:rsid w:val="00610A51"/>
    <w:rsid w:val="00610D10"/>
    <w:rsid w:val="00611002"/>
    <w:rsid w:val="0061184F"/>
    <w:rsid w:val="00611B83"/>
    <w:rsid w:val="00612454"/>
    <w:rsid w:val="00613257"/>
    <w:rsid w:val="00613CAB"/>
    <w:rsid w:val="006155D2"/>
    <w:rsid w:val="00617B1E"/>
    <w:rsid w:val="00620936"/>
    <w:rsid w:val="00620A71"/>
    <w:rsid w:val="00620D80"/>
    <w:rsid w:val="00621C81"/>
    <w:rsid w:val="00623380"/>
    <w:rsid w:val="006234A6"/>
    <w:rsid w:val="0062453C"/>
    <w:rsid w:val="00625BB8"/>
    <w:rsid w:val="00625DFE"/>
    <w:rsid w:val="00627137"/>
    <w:rsid w:val="006278BF"/>
    <w:rsid w:val="00630001"/>
    <w:rsid w:val="006300CD"/>
    <w:rsid w:val="006311B3"/>
    <w:rsid w:val="00631F81"/>
    <w:rsid w:val="0063238B"/>
    <w:rsid w:val="0063284C"/>
    <w:rsid w:val="00632DB1"/>
    <w:rsid w:val="006334A6"/>
    <w:rsid w:val="00634A10"/>
    <w:rsid w:val="00634E45"/>
    <w:rsid w:val="00635DF3"/>
    <w:rsid w:val="00636398"/>
    <w:rsid w:val="006368D3"/>
    <w:rsid w:val="00636AE2"/>
    <w:rsid w:val="006374C4"/>
    <w:rsid w:val="006377EC"/>
    <w:rsid w:val="00640522"/>
    <w:rsid w:val="0064151F"/>
    <w:rsid w:val="00641533"/>
    <w:rsid w:val="0064208D"/>
    <w:rsid w:val="0064265C"/>
    <w:rsid w:val="00642886"/>
    <w:rsid w:val="00643475"/>
    <w:rsid w:val="0064396A"/>
    <w:rsid w:val="0064433B"/>
    <w:rsid w:val="00645002"/>
    <w:rsid w:val="00645491"/>
    <w:rsid w:val="0064624E"/>
    <w:rsid w:val="006462AA"/>
    <w:rsid w:val="00647749"/>
    <w:rsid w:val="00647E38"/>
    <w:rsid w:val="00650AB9"/>
    <w:rsid w:val="006517E5"/>
    <w:rsid w:val="006520DA"/>
    <w:rsid w:val="0065242B"/>
    <w:rsid w:val="00654506"/>
    <w:rsid w:val="00654E47"/>
    <w:rsid w:val="00655119"/>
    <w:rsid w:val="00655733"/>
    <w:rsid w:val="00655A1A"/>
    <w:rsid w:val="00655ACD"/>
    <w:rsid w:val="00656A92"/>
    <w:rsid w:val="00656DDE"/>
    <w:rsid w:val="0066011D"/>
    <w:rsid w:val="006602E1"/>
    <w:rsid w:val="006607C0"/>
    <w:rsid w:val="006613A6"/>
    <w:rsid w:val="00662284"/>
    <w:rsid w:val="006627A2"/>
    <w:rsid w:val="006633BB"/>
    <w:rsid w:val="006634E6"/>
    <w:rsid w:val="006635B6"/>
    <w:rsid w:val="00663B23"/>
    <w:rsid w:val="00663F0E"/>
    <w:rsid w:val="00664201"/>
    <w:rsid w:val="0066453A"/>
    <w:rsid w:val="006653CD"/>
    <w:rsid w:val="006655EE"/>
    <w:rsid w:val="00665C26"/>
    <w:rsid w:val="006665A4"/>
    <w:rsid w:val="006671A3"/>
    <w:rsid w:val="00667EE7"/>
    <w:rsid w:val="00670922"/>
    <w:rsid w:val="00670BE1"/>
    <w:rsid w:val="006713F6"/>
    <w:rsid w:val="0067218F"/>
    <w:rsid w:val="006738A6"/>
    <w:rsid w:val="006741F2"/>
    <w:rsid w:val="00674CC3"/>
    <w:rsid w:val="006756C0"/>
    <w:rsid w:val="00675C72"/>
    <w:rsid w:val="0067687E"/>
    <w:rsid w:val="006771F9"/>
    <w:rsid w:val="006776D7"/>
    <w:rsid w:val="00677BFC"/>
    <w:rsid w:val="00680D80"/>
    <w:rsid w:val="00681003"/>
    <w:rsid w:val="006817C9"/>
    <w:rsid w:val="0068180B"/>
    <w:rsid w:val="00681E79"/>
    <w:rsid w:val="0068247F"/>
    <w:rsid w:val="00683476"/>
    <w:rsid w:val="00683ECE"/>
    <w:rsid w:val="00683F98"/>
    <w:rsid w:val="006843AD"/>
    <w:rsid w:val="006911A4"/>
    <w:rsid w:val="0069236C"/>
    <w:rsid w:val="00692BBE"/>
    <w:rsid w:val="0069487B"/>
    <w:rsid w:val="00695FC2"/>
    <w:rsid w:val="00696949"/>
    <w:rsid w:val="00697052"/>
    <w:rsid w:val="006A3389"/>
    <w:rsid w:val="006A3B29"/>
    <w:rsid w:val="006A46FB"/>
    <w:rsid w:val="006A4B4B"/>
    <w:rsid w:val="006A5832"/>
    <w:rsid w:val="006A5E28"/>
    <w:rsid w:val="006A697B"/>
    <w:rsid w:val="006A7AFF"/>
    <w:rsid w:val="006B0234"/>
    <w:rsid w:val="006B1232"/>
    <w:rsid w:val="006B1816"/>
    <w:rsid w:val="006B2099"/>
    <w:rsid w:val="006B297D"/>
    <w:rsid w:val="006B414B"/>
    <w:rsid w:val="006B50CF"/>
    <w:rsid w:val="006B730B"/>
    <w:rsid w:val="006B7ACD"/>
    <w:rsid w:val="006C03B8"/>
    <w:rsid w:val="006C22B7"/>
    <w:rsid w:val="006C5EC9"/>
    <w:rsid w:val="006C6059"/>
    <w:rsid w:val="006C656E"/>
    <w:rsid w:val="006C7522"/>
    <w:rsid w:val="006D0716"/>
    <w:rsid w:val="006D1403"/>
    <w:rsid w:val="006D1C9F"/>
    <w:rsid w:val="006D4530"/>
    <w:rsid w:val="006D6DC7"/>
    <w:rsid w:val="006D6F08"/>
    <w:rsid w:val="006D7296"/>
    <w:rsid w:val="006D767F"/>
    <w:rsid w:val="006D7BBF"/>
    <w:rsid w:val="006E0558"/>
    <w:rsid w:val="006E062C"/>
    <w:rsid w:val="006E0C2D"/>
    <w:rsid w:val="006E251C"/>
    <w:rsid w:val="006E2693"/>
    <w:rsid w:val="006E28B7"/>
    <w:rsid w:val="006E2EF8"/>
    <w:rsid w:val="006E3310"/>
    <w:rsid w:val="006E3DAB"/>
    <w:rsid w:val="006E4404"/>
    <w:rsid w:val="006E4605"/>
    <w:rsid w:val="006E4615"/>
    <w:rsid w:val="006E49E7"/>
    <w:rsid w:val="006E4E39"/>
    <w:rsid w:val="006E565E"/>
    <w:rsid w:val="006E673D"/>
    <w:rsid w:val="006E7D3B"/>
    <w:rsid w:val="006F0764"/>
    <w:rsid w:val="006F1B70"/>
    <w:rsid w:val="006F329D"/>
    <w:rsid w:val="006F341D"/>
    <w:rsid w:val="006F3CDE"/>
    <w:rsid w:val="006F5532"/>
    <w:rsid w:val="006F58D4"/>
    <w:rsid w:val="006F61F2"/>
    <w:rsid w:val="006F773A"/>
    <w:rsid w:val="007004CA"/>
    <w:rsid w:val="00700B77"/>
    <w:rsid w:val="00700ED9"/>
    <w:rsid w:val="0070346E"/>
    <w:rsid w:val="00703F35"/>
    <w:rsid w:val="00704D14"/>
    <w:rsid w:val="00704EDB"/>
    <w:rsid w:val="00706101"/>
    <w:rsid w:val="00707072"/>
    <w:rsid w:val="00707D61"/>
    <w:rsid w:val="007118D3"/>
    <w:rsid w:val="00712287"/>
    <w:rsid w:val="00712772"/>
    <w:rsid w:val="007148D3"/>
    <w:rsid w:val="007151F8"/>
    <w:rsid w:val="007154C4"/>
    <w:rsid w:val="0071562B"/>
    <w:rsid w:val="00715B9A"/>
    <w:rsid w:val="0071620B"/>
    <w:rsid w:val="00720218"/>
    <w:rsid w:val="0072100C"/>
    <w:rsid w:val="00721042"/>
    <w:rsid w:val="007215E2"/>
    <w:rsid w:val="00722891"/>
    <w:rsid w:val="00723B7E"/>
    <w:rsid w:val="007245C6"/>
    <w:rsid w:val="00726B19"/>
    <w:rsid w:val="00726EA6"/>
    <w:rsid w:val="00727208"/>
    <w:rsid w:val="00727680"/>
    <w:rsid w:val="00730E37"/>
    <w:rsid w:val="00733C6E"/>
    <w:rsid w:val="007341BD"/>
    <w:rsid w:val="007348B1"/>
    <w:rsid w:val="00735268"/>
    <w:rsid w:val="00735EAD"/>
    <w:rsid w:val="007362A6"/>
    <w:rsid w:val="00736CF1"/>
    <w:rsid w:val="00736D7D"/>
    <w:rsid w:val="00740E58"/>
    <w:rsid w:val="00742B00"/>
    <w:rsid w:val="007445A0"/>
    <w:rsid w:val="0074524B"/>
    <w:rsid w:val="00745A9E"/>
    <w:rsid w:val="00745B29"/>
    <w:rsid w:val="00746193"/>
    <w:rsid w:val="007472B0"/>
    <w:rsid w:val="00747668"/>
    <w:rsid w:val="00747D8B"/>
    <w:rsid w:val="00751228"/>
    <w:rsid w:val="00751F0B"/>
    <w:rsid w:val="00752E92"/>
    <w:rsid w:val="007545F9"/>
    <w:rsid w:val="007550A0"/>
    <w:rsid w:val="007567FF"/>
    <w:rsid w:val="00756AB1"/>
    <w:rsid w:val="00756FF6"/>
    <w:rsid w:val="0075706F"/>
    <w:rsid w:val="007571E1"/>
    <w:rsid w:val="00757D94"/>
    <w:rsid w:val="007604B2"/>
    <w:rsid w:val="00760F10"/>
    <w:rsid w:val="0076138B"/>
    <w:rsid w:val="007635E9"/>
    <w:rsid w:val="00765281"/>
    <w:rsid w:val="007667EB"/>
    <w:rsid w:val="00766BAD"/>
    <w:rsid w:val="0076708C"/>
    <w:rsid w:val="007679C1"/>
    <w:rsid w:val="00770587"/>
    <w:rsid w:val="007711E2"/>
    <w:rsid w:val="0077433E"/>
    <w:rsid w:val="007755F2"/>
    <w:rsid w:val="00776370"/>
    <w:rsid w:val="00776971"/>
    <w:rsid w:val="0077718F"/>
    <w:rsid w:val="0078128B"/>
    <w:rsid w:val="0078177E"/>
    <w:rsid w:val="00782F92"/>
    <w:rsid w:val="0078304C"/>
    <w:rsid w:val="00783673"/>
    <w:rsid w:val="0078446F"/>
    <w:rsid w:val="00784988"/>
    <w:rsid w:val="00785490"/>
    <w:rsid w:val="007866F3"/>
    <w:rsid w:val="007925EA"/>
    <w:rsid w:val="007934A8"/>
    <w:rsid w:val="00793CD8"/>
    <w:rsid w:val="007958B5"/>
    <w:rsid w:val="00795C92"/>
    <w:rsid w:val="00796231"/>
    <w:rsid w:val="007A1CB3"/>
    <w:rsid w:val="007A21D5"/>
    <w:rsid w:val="007A306F"/>
    <w:rsid w:val="007A43A6"/>
    <w:rsid w:val="007A58A6"/>
    <w:rsid w:val="007A6B1D"/>
    <w:rsid w:val="007B2AC3"/>
    <w:rsid w:val="007B333D"/>
    <w:rsid w:val="007B3D2D"/>
    <w:rsid w:val="007B4977"/>
    <w:rsid w:val="007B4DA9"/>
    <w:rsid w:val="007B50AE"/>
    <w:rsid w:val="007B51DF"/>
    <w:rsid w:val="007B5FDF"/>
    <w:rsid w:val="007B64C8"/>
    <w:rsid w:val="007C05DD"/>
    <w:rsid w:val="007C3D18"/>
    <w:rsid w:val="007C60BF"/>
    <w:rsid w:val="007C6A07"/>
    <w:rsid w:val="007C75A1"/>
    <w:rsid w:val="007C76FF"/>
    <w:rsid w:val="007C77A5"/>
    <w:rsid w:val="007D04C4"/>
    <w:rsid w:val="007D04E5"/>
    <w:rsid w:val="007D55D5"/>
    <w:rsid w:val="007D5901"/>
    <w:rsid w:val="007D5A99"/>
    <w:rsid w:val="007D7526"/>
    <w:rsid w:val="007E05F5"/>
    <w:rsid w:val="007E130D"/>
    <w:rsid w:val="007E1943"/>
    <w:rsid w:val="007E19F7"/>
    <w:rsid w:val="007E31E4"/>
    <w:rsid w:val="007E4610"/>
    <w:rsid w:val="007E4645"/>
    <w:rsid w:val="007E4715"/>
    <w:rsid w:val="007E505B"/>
    <w:rsid w:val="007E7091"/>
    <w:rsid w:val="007E73E0"/>
    <w:rsid w:val="007E7E62"/>
    <w:rsid w:val="007F0648"/>
    <w:rsid w:val="007F16AE"/>
    <w:rsid w:val="007F23E2"/>
    <w:rsid w:val="007F3ABD"/>
    <w:rsid w:val="007F5B70"/>
    <w:rsid w:val="007F7A94"/>
    <w:rsid w:val="00800408"/>
    <w:rsid w:val="00800C5D"/>
    <w:rsid w:val="00801D47"/>
    <w:rsid w:val="00803FAE"/>
    <w:rsid w:val="0080492A"/>
    <w:rsid w:val="00805376"/>
    <w:rsid w:val="00805693"/>
    <w:rsid w:val="00805CE3"/>
    <w:rsid w:val="0080605F"/>
    <w:rsid w:val="0080606C"/>
    <w:rsid w:val="008067B3"/>
    <w:rsid w:val="00807786"/>
    <w:rsid w:val="00811339"/>
    <w:rsid w:val="008113FD"/>
    <w:rsid w:val="00811477"/>
    <w:rsid w:val="0081161C"/>
    <w:rsid w:val="00811B20"/>
    <w:rsid w:val="00811FCB"/>
    <w:rsid w:val="00812031"/>
    <w:rsid w:val="0081248D"/>
    <w:rsid w:val="008151D6"/>
    <w:rsid w:val="008158D6"/>
    <w:rsid w:val="0081602C"/>
    <w:rsid w:val="00817196"/>
    <w:rsid w:val="0081746A"/>
    <w:rsid w:val="0082080B"/>
    <w:rsid w:val="00820B0D"/>
    <w:rsid w:val="008235DB"/>
    <w:rsid w:val="008238AE"/>
    <w:rsid w:val="008246B2"/>
    <w:rsid w:val="00824AB4"/>
    <w:rsid w:val="00825C42"/>
    <w:rsid w:val="00825D25"/>
    <w:rsid w:val="00827D6F"/>
    <w:rsid w:val="00831704"/>
    <w:rsid w:val="00831821"/>
    <w:rsid w:val="00832255"/>
    <w:rsid w:val="00834319"/>
    <w:rsid w:val="008376AC"/>
    <w:rsid w:val="008413EA"/>
    <w:rsid w:val="008425EC"/>
    <w:rsid w:val="00842C4D"/>
    <w:rsid w:val="00843F13"/>
    <w:rsid w:val="008444E8"/>
    <w:rsid w:val="00844E80"/>
    <w:rsid w:val="00846FE7"/>
    <w:rsid w:val="008470B3"/>
    <w:rsid w:val="00847178"/>
    <w:rsid w:val="00847E26"/>
    <w:rsid w:val="00850FB6"/>
    <w:rsid w:val="00853AF8"/>
    <w:rsid w:val="00856911"/>
    <w:rsid w:val="00857C9E"/>
    <w:rsid w:val="00860C2F"/>
    <w:rsid w:val="008650A0"/>
    <w:rsid w:val="00867172"/>
    <w:rsid w:val="0086776D"/>
    <w:rsid w:val="008677FD"/>
    <w:rsid w:val="008706D4"/>
    <w:rsid w:val="00870F8A"/>
    <w:rsid w:val="008719A4"/>
    <w:rsid w:val="00871D23"/>
    <w:rsid w:val="00871E60"/>
    <w:rsid w:val="00872178"/>
    <w:rsid w:val="00874312"/>
    <w:rsid w:val="0087437C"/>
    <w:rsid w:val="00875CD7"/>
    <w:rsid w:val="00876B4D"/>
    <w:rsid w:val="008778F8"/>
    <w:rsid w:val="00877942"/>
    <w:rsid w:val="00877C6D"/>
    <w:rsid w:val="00877CEC"/>
    <w:rsid w:val="00877F18"/>
    <w:rsid w:val="008841EA"/>
    <w:rsid w:val="00884F04"/>
    <w:rsid w:val="0088512E"/>
    <w:rsid w:val="0088548C"/>
    <w:rsid w:val="00885A61"/>
    <w:rsid w:val="0088728E"/>
    <w:rsid w:val="00887323"/>
    <w:rsid w:val="008910C1"/>
    <w:rsid w:val="00892A2F"/>
    <w:rsid w:val="00893A4F"/>
    <w:rsid w:val="00894A88"/>
    <w:rsid w:val="00895386"/>
    <w:rsid w:val="0089539E"/>
    <w:rsid w:val="00895D2C"/>
    <w:rsid w:val="008A00FA"/>
    <w:rsid w:val="008A0390"/>
    <w:rsid w:val="008A03EF"/>
    <w:rsid w:val="008A0A4B"/>
    <w:rsid w:val="008A0A55"/>
    <w:rsid w:val="008A0ED3"/>
    <w:rsid w:val="008A15C9"/>
    <w:rsid w:val="008A21FF"/>
    <w:rsid w:val="008A2CE2"/>
    <w:rsid w:val="008A30AC"/>
    <w:rsid w:val="008A31FB"/>
    <w:rsid w:val="008A3D4E"/>
    <w:rsid w:val="008A44B8"/>
    <w:rsid w:val="008A51A8"/>
    <w:rsid w:val="008A54C7"/>
    <w:rsid w:val="008A77D8"/>
    <w:rsid w:val="008A7A48"/>
    <w:rsid w:val="008B047A"/>
    <w:rsid w:val="008B0483"/>
    <w:rsid w:val="008B0D5B"/>
    <w:rsid w:val="008B120C"/>
    <w:rsid w:val="008B16B3"/>
    <w:rsid w:val="008B51A0"/>
    <w:rsid w:val="008B592A"/>
    <w:rsid w:val="008B7399"/>
    <w:rsid w:val="008B7B5C"/>
    <w:rsid w:val="008C08D1"/>
    <w:rsid w:val="008C0C99"/>
    <w:rsid w:val="008C2017"/>
    <w:rsid w:val="008C4258"/>
    <w:rsid w:val="008C4958"/>
    <w:rsid w:val="008C4BAA"/>
    <w:rsid w:val="008C4E66"/>
    <w:rsid w:val="008C6AE8"/>
    <w:rsid w:val="008C6FA0"/>
    <w:rsid w:val="008C7573"/>
    <w:rsid w:val="008C76E8"/>
    <w:rsid w:val="008D0378"/>
    <w:rsid w:val="008D0D9D"/>
    <w:rsid w:val="008D1403"/>
    <w:rsid w:val="008D34F1"/>
    <w:rsid w:val="008D39D8"/>
    <w:rsid w:val="008D4B5A"/>
    <w:rsid w:val="008D644D"/>
    <w:rsid w:val="008D66D0"/>
    <w:rsid w:val="008D6D1A"/>
    <w:rsid w:val="008E065E"/>
    <w:rsid w:val="008E0927"/>
    <w:rsid w:val="008E1909"/>
    <w:rsid w:val="008E347F"/>
    <w:rsid w:val="008E48DE"/>
    <w:rsid w:val="008E62B7"/>
    <w:rsid w:val="008E775B"/>
    <w:rsid w:val="008F0529"/>
    <w:rsid w:val="008F0A06"/>
    <w:rsid w:val="008F0EE3"/>
    <w:rsid w:val="008F1EAB"/>
    <w:rsid w:val="008F25C8"/>
    <w:rsid w:val="008F2823"/>
    <w:rsid w:val="008F33DC"/>
    <w:rsid w:val="008F3423"/>
    <w:rsid w:val="008F35E1"/>
    <w:rsid w:val="008F477F"/>
    <w:rsid w:val="008F523A"/>
    <w:rsid w:val="008F5599"/>
    <w:rsid w:val="008F6487"/>
    <w:rsid w:val="008F6D42"/>
    <w:rsid w:val="008F6E39"/>
    <w:rsid w:val="008F788B"/>
    <w:rsid w:val="009005F8"/>
    <w:rsid w:val="009012FC"/>
    <w:rsid w:val="00902350"/>
    <w:rsid w:val="0090336B"/>
    <w:rsid w:val="00903E30"/>
    <w:rsid w:val="009053AA"/>
    <w:rsid w:val="00905A91"/>
    <w:rsid w:val="00905EBB"/>
    <w:rsid w:val="00906939"/>
    <w:rsid w:val="00910B7D"/>
    <w:rsid w:val="00911DFB"/>
    <w:rsid w:val="0091211A"/>
    <w:rsid w:val="00912600"/>
    <w:rsid w:val="009139D9"/>
    <w:rsid w:val="00914AD8"/>
    <w:rsid w:val="00916079"/>
    <w:rsid w:val="00916CA5"/>
    <w:rsid w:val="00916FF0"/>
    <w:rsid w:val="0091780D"/>
    <w:rsid w:val="00917CE9"/>
    <w:rsid w:val="009206B5"/>
    <w:rsid w:val="00920BF2"/>
    <w:rsid w:val="00920E4B"/>
    <w:rsid w:val="00921465"/>
    <w:rsid w:val="00921A36"/>
    <w:rsid w:val="00922010"/>
    <w:rsid w:val="00922DED"/>
    <w:rsid w:val="0092304D"/>
    <w:rsid w:val="00925083"/>
    <w:rsid w:val="0092536B"/>
    <w:rsid w:val="00925BDF"/>
    <w:rsid w:val="00925BE6"/>
    <w:rsid w:val="00926660"/>
    <w:rsid w:val="00927436"/>
    <w:rsid w:val="00927470"/>
    <w:rsid w:val="00927C3C"/>
    <w:rsid w:val="00927C70"/>
    <w:rsid w:val="00927DFE"/>
    <w:rsid w:val="00930E31"/>
    <w:rsid w:val="00931BD9"/>
    <w:rsid w:val="0093201F"/>
    <w:rsid w:val="009368F3"/>
    <w:rsid w:val="00940123"/>
    <w:rsid w:val="00941636"/>
    <w:rsid w:val="00941B56"/>
    <w:rsid w:val="00943392"/>
    <w:rsid w:val="00943742"/>
    <w:rsid w:val="00944244"/>
    <w:rsid w:val="00944E32"/>
    <w:rsid w:val="00945066"/>
    <w:rsid w:val="00945C05"/>
    <w:rsid w:val="00946945"/>
    <w:rsid w:val="00947713"/>
    <w:rsid w:val="00950DE7"/>
    <w:rsid w:val="00952123"/>
    <w:rsid w:val="00953920"/>
    <w:rsid w:val="00953ACE"/>
    <w:rsid w:val="00953D47"/>
    <w:rsid w:val="00954809"/>
    <w:rsid w:val="00956670"/>
    <w:rsid w:val="0095681E"/>
    <w:rsid w:val="009572D4"/>
    <w:rsid w:val="00960846"/>
    <w:rsid w:val="00961921"/>
    <w:rsid w:val="00961DF8"/>
    <w:rsid w:val="00963BA8"/>
    <w:rsid w:val="0096430A"/>
    <w:rsid w:val="0096554B"/>
    <w:rsid w:val="0096584A"/>
    <w:rsid w:val="00971F08"/>
    <w:rsid w:val="00973A70"/>
    <w:rsid w:val="00974235"/>
    <w:rsid w:val="00974795"/>
    <w:rsid w:val="00974797"/>
    <w:rsid w:val="00974841"/>
    <w:rsid w:val="009756D8"/>
    <w:rsid w:val="0097603D"/>
    <w:rsid w:val="009763C2"/>
    <w:rsid w:val="00976949"/>
    <w:rsid w:val="00980477"/>
    <w:rsid w:val="00980D23"/>
    <w:rsid w:val="00981557"/>
    <w:rsid w:val="009815DF"/>
    <w:rsid w:val="009816D1"/>
    <w:rsid w:val="00981AC1"/>
    <w:rsid w:val="00985253"/>
    <w:rsid w:val="009853B3"/>
    <w:rsid w:val="009858AF"/>
    <w:rsid w:val="00986662"/>
    <w:rsid w:val="00986939"/>
    <w:rsid w:val="00986EB2"/>
    <w:rsid w:val="009901F8"/>
    <w:rsid w:val="00990630"/>
    <w:rsid w:val="00991761"/>
    <w:rsid w:val="00991BDC"/>
    <w:rsid w:val="00992F83"/>
    <w:rsid w:val="009935C4"/>
    <w:rsid w:val="0099375C"/>
    <w:rsid w:val="00994DCA"/>
    <w:rsid w:val="009960EC"/>
    <w:rsid w:val="00996B40"/>
    <w:rsid w:val="009970DD"/>
    <w:rsid w:val="00997755"/>
    <w:rsid w:val="00997992"/>
    <w:rsid w:val="009A0699"/>
    <w:rsid w:val="009A0BCF"/>
    <w:rsid w:val="009A0BE0"/>
    <w:rsid w:val="009A0FBA"/>
    <w:rsid w:val="009A1601"/>
    <w:rsid w:val="009A17C1"/>
    <w:rsid w:val="009A27DB"/>
    <w:rsid w:val="009A462D"/>
    <w:rsid w:val="009A5852"/>
    <w:rsid w:val="009A5CBA"/>
    <w:rsid w:val="009A6113"/>
    <w:rsid w:val="009A64EC"/>
    <w:rsid w:val="009A6E51"/>
    <w:rsid w:val="009A793C"/>
    <w:rsid w:val="009B19F9"/>
    <w:rsid w:val="009B1F30"/>
    <w:rsid w:val="009B3AC2"/>
    <w:rsid w:val="009B4DF4"/>
    <w:rsid w:val="009B564E"/>
    <w:rsid w:val="009B59CB"/>
    <w:rsid w:val="009B5DDC"/>
    <w:rsid w:val="009B690E"/>
    <w:rsid w:val="009B7552"/>
    <w:rsid w:val="009B778D"/>
    <w:rsid w:val="009B7E87"/>
    <w:rsid w:val="009C0083"/>
    <w:rsid w:val="009C1413"/>
    <w:rsid w:val="009C403E"/>
    <w:rsid w:val="009C40CA"/>
    <w:rsid w:val="009C5E26"/>
    <w:rsid w:val="009C71CE"/>
    <w:rsid w:val="009D359F"/>
    <w:rsid w:val="009D3BA2"/>
    <w:rsid w:val="009D4C4E"/>
    <w:rsid w:val="009D4FF0"/>
    <w:rsid w:val="009D6158"/>
    <w:rsid w:val="009D6BB2"/>
    <w:rsid w:val="009D6D09"/>
    <w:rsid w:val="009D703C"/>
    <w:rsid w:val="009D718F"/>
    <w:rsid w:val="009E068F"/>
    <w:rsid w:val="009E14E0"/>
    <w:rsid w:val="009E1B75"/>
    <w:rsid w:val="009E1D59"/>
    <w:rsid w:val="009E35DB"/>
    <w:rsid w:val="009E39F9"/>
    <w:rsid w:val="009E3BA6"/>
    <w:rsid w:val="009E3E3C"/>
    <w:rsid w:val="009E47A3"/>
    <w:rsid w:val="009E6424"/>
    <w:rsid w:val="009F08F3"/>
    <w:rsid w:val="009F1961"/>
    <w:rsid w:val="009F344F"/>
    <w:rsid w:val="009F3A4F"/>
    <w:rsid w:val="009F41ED"/>
    <w:rsid w:val="009F48D1"/>
    <w:rsid w:val="009F6B92"/>
    <w:rsid w:val="009F6D79"/>
    <w:rsid w:val="00A04648"/>
    <w:rsid w:val="00A048A8"/>
    <w:rsid w:val="00A04F49"/>
    <w:rsid w:val="00A06842"/>
    <w:rsid w:val="00A06AC1"/>
    <w:rsid w:val="00A06FE3"/>
    <w:rsid w:val="00A10AED"/>
    <w:rsid w:val="00A11FA1"/>
    <w:rsid w:val="00A121D5"/>
    <w:rsid w:val="00A13614"/>
    <w:rsid w:val="00A13E54"/>
    <w:rsid w:val="00A15D68"/>
    <w:rsid w:val="00A17F63"/>
    <w:rsid w:val="00A2193B"/>
    <w:rsid w:val="00A22524"/>
    <w:rsid w:val="00A2351A"/>
    <w:rsid w:val="00A244EB"/>
    <w:rsid w:val="00A264A9"/>
    <w:rsid w:val="00A27785"/>
    <w:rsid w:val="00A27D55"/>
    <w:rsid w:val="00A30187"/>
    <w:rsid w:val="00A30FA4"/>
    <w:rsid w:val="00A32579"/>
    <w:rsid w:val="00A32F5E"/>
    <w:rsid w:val="00A33776"/>
    <w:rsid w:val="00A3448A"/>
    <w:rsid w:val="00A34B2F"/>
    <w:rsid w:val="00A34C25"/>
    <w:rsid w:val="00A35CBF"/>
    <w:rsid w:val="00A36297"/>
    <w:rsid w:val="00A363D7"/>
    <w:rsid w:val="00A3644B"/>
    <w:rsid w:val="00A36A20"/>
    <w:rsid w:val="00A3789F"/>
    <w:rsid w:val="00A3793A"/>
    <w:rsid w:val="00A40A09"/>
    <w:rsid w:val="00A4181C"/>
    <w:rsid w:val="00A41CDB"/>
    <w:rsid w:val="00A41E2B"/>
    <w:rsid w:val="00A4300B"/>
    <w:rsid w:val="00A4306F"/>
    <w:rsid w:val="00A43440"/>
    <w:rsid w:val="00A45AF8"/>
    <w:rsid w:val="00A45B74"/>
    <w:rsid w:val="00A472D1"/>
    <w:rsid w:val="00A521F8"/>
    <w:rsid w:val="00A52E1D"/>
    <w:rsid w:val="00A5304E"/>
    <w:rsid w:val="00A56EAE"/>
    <w:rsid w:val="00A571B6"/>
    <w:rsid w:val="00A573EC"/>
    <w:rsid w:val="00A60A03"/>
    <w:rsid w:val="00A61499"/>
    <w:rsid w:val="00A617DA"/>
    <w:rsid w:val="00A62A77"/>
    <w:rsid w:val="00A63483"/>
    <w:rsid w:val="00A65461"/>
    <w:rsid w:val="00A657D7"/>
    <w:rsid w:val="00A660AC"/>
    <w:rsid w:val="00A673D2"/>
    <w:rsid w:val="00A67B6B"/>
    <w:rsid w:val="00A67E6C"/>
    <w:rsid w:val="00A704B5"/>
    <w:rsid w:val="00A71B99"/>
    <w:rsid w:val="00A735B1"/>
    <w:rsid w:val="00A739D0"/>
    <w:rsid w:val="00A7412B"/>
    <w:rsid w:val="00A75999"/>
    <w:rsid w:val="00A761D4"/>
    <w:rsid w:val="00A769E4"/>
    <w:rsid w:val="00A76A37"/>
    <w:rsid w:val="00A76D9F"/>
    <w:rsid w:val="00A77EC4"/>
    <w:rsid w:val="00A77F0B"/>
    <w:rsid w:val="00A80760"/>
    <w:rsid w:val="00A810DA"/>
    <w:rsid w:val="00A8246D"/>
    <w:rsid w:val="00A84A8F"/>
    <w:rsid w:val="00A86530"/>
    <w:rsid w:val="00A86E03"/>
    <w:rsid w:val="00A871B3"/>
    <w:rsid w:val="00A871DD"/>
    <w:rsid w:val="00A87776"/>
    <w:rsid w:val="00A90BD3"/>
    <w:rsid w:val="00A91925"/>
    <w:rsid w:val="00A92879"/>
    <w:rsid w:val="00A92C86"/>
    <w:rsid w:val="00A9442A"/>
    <w:rsid w:val="00A953AB"/>
    <w:rsid w:val="00A95AC8"/>
    <w:rsid w:val="00A97434"/>
    <w:rsid w:val="00AA016F"/>
    <w:rsid w:val="00AA1ED6"/>
    <w:rsid w:val="00AA2066"/>
    <w:rsid w:val="00AA4574"/>
    <w:rsid w:val="00AA51D6"/>
    <w:rsid w:val="00AA5AE4"/>
    <w:rsid w:val="00AA5BEB"/>
    <w:rsid w:val="00AA716D"/>
    <w:rsid w:val="00AA7B4C"/>
    <w:rsid w:val="00AB0BC8"/>
    <w:rsid w:val="00AB10A0"/>
    <w:rsid w:val="00AB11CA"/>
    <w:rsid w:val="00AB14D9"/>
    <w:rsid w:val="00AB1F88"/>
    <w:rsid w:val="00AB2849"/>
    <w:rsid w:val="00AB3929"/>
    <w:rsid w:val="00AB3D80"/>
    <w:rsid w:val="00AB4AB8"/>
    <w:rsid w:val="00AB4E37"/>
    <w:rsid w:val="00AB53E3"/>
    <w:rsid w:val="00AB655E"/>
    <w:rsid w:val="00AB687C"/>
    <w:rsid w:val="00AB6D3B"/>
    <w:rsid w:val="00AB7135"/>
    <w:rsid w:val="00AC007F"/>
    <w:rsid w:val="00AC1772"/>
    <w:rsid w:val="00AC18A5"/>
    <w:rsid w:val="00AC2ECD"/>
    <w:rsid w:val="00AC3119"/>
    <w:rsid w:val="00AC49FB"/>
    <w:rsid w:val="00AC4CCA"/>
    <w:rsid w:val="00AC5713"/>
    <w:rsid w:val="00AC5A10"/>
    <w:rsid w:val="00AC5B02"/>
    <w:rsid w:val="00AC7369"/>
    <w:rsid w:val="00AC7816"/>
    <w:rsid w:val="00AD074A"/>
    <w:rsid w:val="00AD0AA3"/>
    <w:rsid w:val="00AD12A8"/>
    <w:rsid w:val="00AD3308"/>
    <w:rsid w:val="00AD3F94"/>
    <w:rsid w:val="00AD4A5A"/>
    <w:rsid w:val="00AD67A6"/>
    <w:rsid w:val="00AE27AC"/>
    <w:rsid w:val="00AE285B"/>
    <w:rsid w:val="00AE33D9"/>
    <w:rsid w:val="00AE40E0"/>
    <w:rsid w:val="00AE4DBA"/>
    <w:rsid w:val="00AE4F07"/>
    <w:rsid w:val="00AF0CE3"/>
    <w:rsid w:val="00AF1B16"/>
    <w:rsid w:val="00AF1B83"/>
    <w:rsid w:val="00AF1C5D"/>
    <w:rsid w:val="00AF24DD"/>
    <w:rsid w:val="00AF42D7"/>
    <w:rsid w:val="00AF47D3"/>
    <w:rsid w:val="00AF5DD7"/>
    <w:rsid w:val="00AF6A1C"/>
    <w:rsid w:val="00B006FE"/>
    <w:rsid w:val="00B007CB"/>
    <w:rsid w:val="00B013EC"/>
    <w:rsid w:val="00B02AA9"/>
    <w:rsid w:val="00B02FA3"/>
    <w:rsid w:val="00B0374E"/>
    <w:rsid w:val="00B05084"/>
    <w:rsid w:val="00B06C76"/>
    <w:rsid w:val="00B06F32"/>
    <w:rsid w:val="00B104D2"/>
    <w:rsid w:val="00B10C1A"/>
    <w:rsid w:val="00B119DA"/>
    <w:rsid w:val="00B139D9"/>
    <w:rsid w:val="00B14B07"/>
    <w:rsid w:val="00B1511F"/>
    <w:rsid w:val="00B157F9"/>
    <w:rsid w:val="00B16616"/>
    <w:rsid w:val="00B17ED3"/>
    <w:rsid w:val="00B20256"/>
    <w:rsid w:val="00B20544"/>
    <w:rsid w:val="00B20758"/>
    <w:rsid w:val="00B20CFA"/>
    <w:rsid w:val="00B20D09"/>
    <w:rsid w:val="00B20D37"/>
    <w:rsid w:val="00B2124E"/>
    <w:rsid w:val="00B21FCC"/>
    <w:rsid w:val="00B22B55"/>
    <w:rsid w:val="00B23FBE"/>
    <w:rsid w:val="00B260D0"/>
    <w:rsid w:val="00B2654E"/>
    <w:rsid w:val="00B2671A"/>
    <w:rsid w:val="00B26BBF"/>
    <w:rsid w:val="00B2763F"/>
    <w:rsid w:val="00B27AAC"/>
    <w:rsid w:val="00B30929"/>
    <w:rsid w:val="00B31582"/>
    <w:rsid w:val="00B31F59"/>
    <w:rsid w:val="00B31F71"/>
    <w:rsid w:val="00B32465"/>
    <w:rsid w:val="00B33A85"/>
    <w:rsid w:val="00B33D36"/>
    <w:rsid w:val="00B340B5"/>
    <w:rsid w:val="00B34ECE"/>
    <w:rsid w:val="00B36054"/>
    <w:rsid w:val="00B3699C"/>
    <w:rsid w:val="00B372AA"/>
    <w:rsid w:val="00B40374"/>
    <w:rsid w:val="00B40445"/>
    <w:rsid w:val="00B41888"/>
    <w:rsid w:val="00B438F1"/>
    <w:rsid w:val="00B44611"/>
    <w:rsid w:val="00B4496E"/>
    <w:rsid w:val="00B44E5E"/>
    <w:rsid w:val="00B45A52"/>
    <w:rsid w:val="00B46175"/>
    <w:rsid w:val="00B46EF4"/>
    <w:rsid w:val="00B47F34"/>
    <w:rsid w:val="00B50093"/>
    <w:rsid w:val="00B5190A"/>
    <w:rsid w:val="00B52E4D"/>
    <w:rsid w:val="00B53B08"/>
    <w:rsid w:val="00B5485D"/>
    <w:rsid w:val="00B564E1"/>
    <w:rsid w:val="00B61DA9"/>
    <w:rsid w:val="00B62EDB"/>
    <w:rsid w:val="00B639FB"/>
    <w:rsid w:val="00B64520"/>
    <w:rsid w:val="00B648AB"/>
    <w:rsid w:val="00B664C7"/>
    <w:rsid w:val="00B6669E"/>
    <w:rsid w:val="00B66E38"/>
    <w:rsid w:val="00B71C6F"/>
    <w:rsid w:val="00B739F6"/>
    <w:rsid w:val="00B73B88"/>
    <w:rsid w:val="00B759C3"/>
    <w:rsid w:val="00B76979"/>
    <w:rsid w:val="00B769EE"/>
    <w:rsid w:val="00B77CED"/>
    <w:rsid w:val="00B77DB0"/>
    <w:rsid w:val="00B80E83"/>
    <w:rsid w:val="00B81A6C"/>
    <w:rsid w:val="00B85DE5"/>
    <w:rsid w:val="00B87798"/>
    <w:rsid w:val="00B87C86"/>
    <w:rsid w:val="00B904DF"/>
    <w:rsid w:val="00B908A6"/>
    <w:rsid w:val="00B90B68"/>
    <w:rsid w:val="00B90F73"/>
    <w:rsid w:val="00B910CD"/>
    <w:rsid w:val="00B918DE"/>
    <w:rsid w:val="00B93B59"/>
    <w:rsid w:val="00B9406A"/>
    <w:rsid w:val="00B94BA5"/>
    <w:rsid w:val="00B9762E"/>
    <w:rsid w:val="00BA09FF"/>
    <w:rsid w:val="00BA2280"/>
    <w:rsid w:val="00BA2A08"/>
    <w:rsid w:val="00BA33D7"/>
    <w:rsid w:val="00BA3C62"/>
    <w:rsid w:val="00BA5499"/>
    <w:rsid w:val="00BA5649"/>
    <w:rsid w:val="00BA56D2"/>
    <w:rsid w:val="00BA6AA3"/>
    <w:rsid w:val="00BA76E0"/>
    <w:rsid w:val="00BB2A25"/>
    <w:rsid w:val="00BB45A4"/>
    <w:rsid w:val="00BB49E0"/>
    <w:rsid w:val="00BB4AF7"/>
    <w:rsid w:val="00BB51E9"/>
    <w:rsid w:val="00BB53F6"/>
    <w:rsid w:val="00BB5BF5"/>
    <w:rsid w:val="00BC0FDC"/>
    <w:rsid w:val="00BC3053"/>
    <w:rsid w:val="00BC379C"/>
    <w:rsid w:val="00BC3BD0"/>
    <w:rsid w:val="00BC4D2E"/>
    <w:rsid w:val="00BC4F13"/>
    <w:rsid w:val="00BC50CE"/>
    <w:rsid w:val="00BC58A4"/>
    <w:rsid w:val="00BC5D8B"/>
    <w:rsid w:val="00BC6766"/>
    <w:rsid w:val="00BC763A"/>
    <w:rsid w:val="00BD06F7"/>
    <w:rsid w:val="00BD23FD"/>
    <w:rsid w:val="00BD48AC"/>
    <w:rsid w:val="00BD5F1A"/>
    <w:rsid w:val="00BD6DF6"/>
    <w:rsid w:val="00BE1234"/>
    <w:rsid w:val="00BE202E"/>
    <w:rsid w:val="00BE2F81"/>
    <w:rsid w:val="00BE2FA6"/>
    <w:rsid w:val="00BE333F"/>
    <w:rsid w:val="00BE7406"/>
    <w:rsid w:val="00BE7603"/>
    <w:rsid w:val="00BE7BF6"/>
    <w:rsid w:val="00BF2237"/>
    <w:rsid w:val="00BF2BA2"/>
    <w:rsid w:val="00BF3131"/>
    <w:rsid w:val="00BF3279"/>
    <w:rsid w:val="00BF3559"/>
    <w:rsid w:val="00BF5E43"/>
    <w:rsid w:val="00BF69BC"/>
    <w:rsid w:val="00BF74C7"/>
    <w:rsid w:val="00C000E5"/>
    <w:rsid w:val="00C011C4"/>
    <w:rsid w:val="00C015F1"/>
    <w:rsid w:val="00C01F33"/>
    <w:rsid w:val="00C02BE9"/>
    <w:rsid w:val="00C02CC6"/>
    <w:rsid w:val="00C03143"/>
    <w:rsid w:val="00C0395C"/>
    <w:rsid w:val="00C03E6C"/>
    <w:rsid w:val="00C040F7"/>
    <w:rsid w:val="00C044AB"/>
    <w:rsid w:val="00C0510C"/>
    <w:rsid w:val="00C05706"/>
    <w:rsid w:val="00C06BA0"/>
    <w:rsid w:val="00C07377"/>
    <w:rsid w:val="00C10478"/>
    <w:rsid w:val="00C105A5"/>
    <w:rsid w:val="00C105E1"/>
    <w:rsid w:val="00C11F05"/>
    <w:rsid w:val="00C12107"/>
    <w:rsid w:val="00C1257A"/>
    <w:rsid w:val="00C12891"/>
    <w:rsid w:val="00C134E7"/>
    <w:rsid w:val="00C14D4B"/>
    <w:rsid w:val="00C14D9B"/>
    <w:rsid w:val="00C154BB"/>
    <w:rsid w:val="00C16E76"/>
    <w:rsid w:val="00C172B5"/>
    <w:rsid w:val="00C17ED5"/>
    <w:rsid w:val="00C20B19"/>
    <w:rsid w:val="00C21C3B"/>
    <w:rsid w:val="00C22C37"/>
    <w:rsid w:val="00C2359F"/>
    <w:rsid w:val="00C24142"/>
    <w:rsid w:val="00C244B9"/>
    <w:rsid w:val="00C26962"/>
    <w:rsid w:val="00C279B5"/>
    <w:rsid w:val="00C27C45"/>
    <w:rsid w:val="00C318B0"/>
    <w:rsid w:val="00C328D7"/>
    <w:rsid w:val="00C33335"/>
    <w:rsid w:val="00C33C97"/>
    <w:rsid w:val="00C34F65"/>
    <w:rsid w:val="00C36AF4"/>
    <w:rsid w:val="00C36BFD"/>
    <w:rsid w:val="00C36CBB"/>
    <w:rsid w:val="00C3719D"/>
    <w:rsid w:val="00C4231F"/>
    <w:rsid w:val="00C43684"/>
    <w:rsid w:val="00C43D6D"/>
    <w:rsid w:val="00C4433D"/>
    <w:rsid w:val="00C45B5B"/>
    <w:rsid w:val="00C51CC3"/>
    <w:rsid w:val="00C5402E"/>
    <w:rsid w:val="00C54995"/>
    <w:rsid w:val="00C54D41"/>
    <w:rsid w:val="00C54ED5"/>
    <w:rsid w:val="00C5529D"/>
    <w:rsid w:val="00C55486"/>
    <w:rsid w:val="00C55F91"/>
    <w:rsid w:val="00C563A4"/>
    <w:rsid w:val="00C60783"/>
    <w:rsid w:val="00C61E4D"/>
    <w:rsid w:val="00C635AB"/>
    <w:rsid w:val="00C63D19"/>
    <w:rsid w:val="00C64672"/>
    <w:rsid w:val="00C65006"/>
    <w:rsid w:val="00C70697"/>
    <w:rsid w:val="00C72EF4"/>
    <w:rsid w:val="00C7475F"/>
    <w:rsid w:val="00C75387"/>
    <w:rsid w:val="00C75D2F"/>
    <w:rsid w:val="00C767BE"/>
    <w:rsid w:val="00C76E3C"/>
    <w:rsid w:val="00C81568"/>
    <w:rsid w:val="00C81EAB"/>
    <w:rsid w:val="00C851AC"/>
    <w:rsid w:val="00C86CBB"/>
    <w:rsid w:val="00C871B9"/>
    <w:rsid w:val="00C9027A"/>
    <w:rsid w:val="00C9068E"/>
    <w:rsid w:val="00C911A9"/>
    <w:rsid w:val="00C91F2B"/>
    <w:rsid w:val="00C92167"/>
    <w:rsid w:val="00C93C4B"/>
    <w:rsid w:val="00C944AB"/>
    <w:rsid w:val="00C94C49"/>
    <w:rsid w:val="00C94CBE"/>
    <w:rsid w:val="00C95B40"/>
    <w:rsid w:val="00CA0EA5"/>
    <w:rsid w:val="00CA1ED8"/>
    <w:rsid w:val="00CA2C14"/>
    <w:rsid w:val="00CA3EC3"/>
    <w:rsid w:val="00CA5B19"/>
    <w:rsid w:val="00CA5F4A"/>
    <w:rsid w:val="00CA6795"/>
    <w:rsid w:val="00CA7467"/>
    <w:rsid w:val="00CB0772"/>
    <w:rsid w:val="00CB15BC"/>
    <w:rsid w:val="00CB1BB9"/>
    <w:rsid w:val="00CB1F63"/>
    <w:rsid w:val="00CB24F4"/>
    <w:rsid w:val="00CB7170"/>
    <w:rsid w:val="00CC040E"/>
    <w:rsid w:val="00CC111F"/>
    <w:rsid w:val="00CC1ACD"/>
    <w:rsid w:val="00CC2011"/>
    <w:rsid w:val="00CC251A"/>
    <w:rsid w:val="00CC2C99"/>
    <w:rsid w:val="00CC3EA0"/>
    <w:rsid w:val="00CC6CD6"/>
    <w:rsid w:val="00CC7B45"/>
    <w:rsid w:val="00CD1188"/>
    <w:rsid w:val="00CD175D"/>
    <w:rsid w:val="00CD2024"/>
    <w:rsid w:val="00CD23C0"/>
    <w:rsid w:val="00CD2ED1"/>
    <w:rsid w:val="00CD2ED3"/>
    <w:rsid w:val="00CD337B"/>
    <w:rsid w:val="00CD4E0B"/>
    <w:rsid w:val="00CD523D"/>
    <w:rsid w:val="00CD5DCB"/>
    <w:rsid w:val="00CE0424"/>
    <w:rsid w:val="00CE11A9"/>
    <w:rsid w:val="00CE1239"/>
    <w:rsid w:val="00CE263D"/>
    <w:rsid w:val="00CE3EBA"/>
    <w:rsid w:val="00CE5448"/>
    <w:rsid w:val="00CE7561"/>
    <w:rsid w:val="00CE7B7D"/>
    <w:rsid w:val="00CF0D28"/>
    <w:rsid w:val="00CF1354"/>
    <w:rsid w:val="00CF2DED"/>
    <w:rsid w:val="00CF3B1F"/>
    <w:rsid w:val="00CF3BF6"/>
    <w:rsid w:val="00CF4753"/>
    <w:rsid w:val="00CF61BE"/>
    <w:rsid w:val="00CF625B"/>
    <w:rsid w:val="00CF62A2"/>
    <w:rsid w:val="00CF687E"/>
    <w:rsid w:val="00CF6DC9"/>
    <w:rsid w:val="00CF6EE8"/>
    <w:rsid w:val="00CF7349"/>
    <w:rsid w:val="00CF744B"/>
    <w:rsid w:val="00CF7604"/>
    <w:rsid w:val="00D00A23"/>
    <w:rsid w:val="00D0349B"/>
    <w:rsid w:val="00D0377C"/>
    <w:rsid w:val="00D0550F"/>
    <w:rsid w:val="00D05E86"/>
    <w:rsid w:val="00D067A7"/>
    <w:rsid w:val="00D10249"/>
    <w:rsid w:val="00D115C3"/>
    <w:rsid w:val="00D115F7"/>
    <w:rsid w:val="00D11897"/>
    <w:rsid w:val="00D12D8D"/>
    <w:rsid w:val="00D13135"/>
    <w:rsid w:val="00D13E4E"/>
    <w:rsid w:val="00D151A2"/>
    <w:rsid w:val="00D15B6B"/>
    <w:rsid w:val="00D15C74"/>
    <w:rsid w:val="00D16A5A"/>
    <w:rsid w:val="00D17391"/>
    <w:rsid w:val="00D20481"/>
    <w:rsid w:val="00D21521"/>
    <w:rsid w:val="00D21E05"/>
    <w:rsid w:val="00D21FF6"/>
    <w:rsid w:val="00D239A7"/>
    <w:rsid w:val="00D23F47"/>
    <w:rsid w:val="00D27BD3"/>
    <w:rsid w:val="00D30702"/>
    <w:rsid w:val="00D31B6D"/>
    <w:rsid w:val="00D36032"/>
    <w:rsid w:val="00D36E71"/>
    <w:rsid w:val="00D374FF"/>
    <w:rsid w:val="00D37D87"/>
    <w:rsid w:val="00D37E91"/>
    <w:rsid w:val="00D40628"/>
    <w:rsid w:val="00D40B33"/>
    <w:rsid w:val="00D40C6F"/>
    <w:rsid w:val="00D417A9"/>
    <w:rsid w:val="00D41DF4"/>
    <w:rsid w:val="00D4318F"/>
    <w:rsid w:val="00D438BF"/>
    <w:rsid w:val="00D440F8"/>
    <w:rsid w:val="00D4419E"/>
    <w:rsid w:val="00D453BB"/>
    <w:rsid w:val="00D45DDD"/>
    <w:rsid w:val="00D47D5B"/>
    <w:rsid w:val="00D5027E"/>
    <w:rsid w:val="00D507C2"/>
    <w:rsid w:val="00D50D92"/>
    <w:rsid w:val="00D51B81"/>
    <w:rsid w:val="00D53C98"/>
    <w:rsid w:val="00D546FF"/>
    <w:rsid w:val="00D55A03"/>
    <w:rsid w:val="00D55AD5"/>
    <w:rsid w:val="00D568B4"/>
    <w:rsid w:val="00D576CA"/>
    <w:rsid w:val="00D57C81"/>
    <w:rsid w:val="00D608D9"/>
    <w:rsid w:val="00D6130E"/>
    <w:rsid w:val="00D61AF5"/>
    <w:rsid w:val="00D61B7E"/>
    <w:rsid w:val="00D626F1"/>
    <w:rsid w:val="00D64C3C"/>
    <w:rsid w:val="00D652B5"/>
    <w:rsid w:val="00D66155"/>
    <w:rsid w:val="00D66D6B"/>
    <w:rsid w:val="00D67344"/>
    <w:rsid w:val="00D708B0"/>
    <w:rsid w:val="00D7124C"/>
    <w:rsid w:val="00D7235B"/>
    <w:rsid w:val="00D74734"/>
    <w:rsid w:val="00D75804"/>
    <w:rsid w:val="00D760BC"/>
    <w:rsid w:val="00D777DE"/>
    <w:rsid w:val="00D77B1D"/>
    <w:rsid w:val="00D8021F"/>
    <w:rsid w:val="00D80383"/>
    <w:rsid w:val="00D80D35"/>
    <w:rsid w:val="00D810DE"/>
    <w:rsid w:val="00D823C6"/>
    <w:rsid w:val="00D84804"/>
    <w:rsid w:val="00D84B05"/>
    <w:rsid w:val="00D85A30"/>
    <w:rsid w:val="00D86180"/>
    <w:rsid w:val="00D86CA3"/>
    <w:rsid w:val="00D871CE"/>
    <w:rsid w:val="00D904CF"/>
    <w:rsid w:val="00D91397"/>
    <w:rsid w:val="00D9196D"/>
    <w:rsid w:val="00D920F1"/>
    <w:rsid w:val="00D92982"/>
    <w:rsid w:val="00D93944"/>
    <w:rsid w:val="00D953C7"/>
    <w:rsid w:val="00D95A9C"/>
    <w:rsid w:val="00D95DF5"/>
    <w:rsid w:val="00D96D0B"/>
    <w:rsid w:val="00DA174E"/>
    <w:rsid w:val="00DA305E"/>
    <w:rsid w:val="00DA5417"/>
    <w:rsid w:val="00DA56E8"/>
    <w:rsid w:val="00DA6CAC"/>
    <w:rsid w:val="00DA7210"/>
    <w:rsid w:val="00DA7D34"/>
    <w:rsid w:val="00DB0A9F"/>
    <w:rsid w:val="00DB1CAD"/>
    <w:rsid w:val="00DB377D"/>
    <w:rsid w:val="00DC108D"/>
    <w:rsid w:val="00DC1EE9"/>
    <w:rsid w:val="00DC2D36"/>
    <w:rsid w:val="00DC3FBC"/>
    <w:rsid w:val="00DC53EF"/>
    <w:rsid w:val="00DC5A51"/>
    <w:rsid w:val="00DC729D"/>
    <w:rsid w:val="00DC746B"/>
    <w:rsid w:val="00DD1B97"/>
    <w:rsid w:val="00DD283A"/>
    <w:rsid w:val="00DD5403"/>
    <w:rsid w:val="00DD6B4A"/>
    <w:rsid w:val="00DD7E04"/>
    <w:rsid w:val="00DE0123"/>
    <w:rsid w:val="00DE0452"/>
    <w:rsid w:val="00DE148A"/>
    <w:rsid w:val="00DE367B"/>
    <w:rsid w:val="00DE3DED"/>
    <w:rsid w:val="00DE5608"/>
    <w:rsid w:val="00DE58D0"/>
    <w:rsid w:val="00DE654F"/>
    <w:rsid w:val="00DE73B7"/>
    <w:rsid w:val="00DF0B6E"/>
    <w:rsid w:val="00DF15E0"/>
    <w:rsid w:val="00DF2484"/>
    <w:rsid w:val="00DF37A0"/>
    <w:rsid w:val="00DF5AC1"/>
    <w:rsid w:val="00DF5C93"/>
    <w:rsid w:val="00DF6AD7"/>
    <w:rsid w:val="00DF774B"/>
    <w:rsid w:val="00DF7EE3"/>
    <w:rsid w:val="00E00F03"/>
    <w:rsid w:val="00E018A3"/>
    <w:rsid w:val="00E02C41"/>
    <w:rsid w:val="00E03478"/>
    <w:rsid w:val="00E04391"/>
    <w:rsid w:val="00E06636"/>
    <w:rsid w:val="00E06D98"/>
    <w:rsid w:val="00E110E7"/>
    <w:rsid w:val="00E1128E"/>
    <w:rsid w:val="00E11B20"/>
    <w:rsid w:val="00E133F7"/>
    <w:rsid w:val="00E14077"/>
    <w:rsid w:val="00E14170"/>
    <w:rsid w:val="00E17FA2"/>
    <w:rsid w:val="00E214BD"/>
    <w:rsid w:val="00E21541"/>
    <w:rsid w:val="00E22330"/>
    <w:rsid w:val="00E22ED2"/>
    <w:rsid w:val="00E25A0C"/>
    <w:rsid w:val="00E2768B"/>
    <w:rsid w:val="00E27F87"/>
    <w:rsid w:val="00E3070D"/>
    <w:rsid w:val="00E30B5A"/>
    <w:rsid w:val="00E3123D"/>
    <w:rsid w:val="00E31461"/>
    <w:rsid w:val="00E31D43"/>
    <w:rsid w:val="00E32608"/>
    <w:rsid w:val="00E34188"/>
    <w:rsid w:val="00E34B6E"/>
    <w:rsid w:val="00E35559"/>
    <w:rsid w:val="00E3723A"/>
    <w:rsid w:val="00E37860"/>
    <w:rsid w:val="00E37FE2"/>
    <w:rsid w:val="00E40B3A"/>
    <w:rsid w:val="00E40E08"/>
    <w:rsid w:val="00E41158"/>
    <w:rsid w:val="00E41AD2"/>
    <w:rsid w:val="00E420D7"/>
    <w:rsid w:val="00E42402"/>
    <w:rsid w:val="00E4400A"/>
    <w:rsid w:val="00E446F1"/>
    <w:rsid w:val="00E4498C"/>
    <w:rsid w:val="00E4532B"/>
    <w:rsid w:val="00E46886"/>
    <w:rsid w:val="00E46E30"/>
    <w:rsid w:val="00E47AEF"/>
    <w:rsid w:val="00E50FBE"/>
    <w:rsid w:val="00E523D4"/>
    <w:rsid w:val="00E53B75"/>
    <w:rsid w:val="00E53F66"/>
    <w:rsid w:val="00E54418"/>
    <w:rsid w:val="00E54E3B"/>
    <w:rsid w:val="00E55F82"/>
    <w:rsid w:val="00E562E9"/>
    <w:rsid w:val="00E57565"/>
    <w:rsid w:val="00E60658"/>
    <w:rsid w:val="00E63838"/>
    <w:rsid w:val="00E64434"/>
    <w:rsid w:val="00E644B4"/>
    <w:rsid w:val="00E64B5A"/>
    <w:rsid w:val="00E6621F"/>
    <w:rsid w:val="00E66718"/>
    <w:rsid w:val="00E66E78"/>
    <w:rsid w:val="00E67C51"/>
    <w:rsid w:val="00E71723"/>
    <w:rsid w:val="00E72EFC"/>
    <w:rsid w:val="00E744B9"/>
    <w:rsid w:val="00E758EC"/>
    <w:rsid w:val="00E76008"/>
    <w:rsid w:val="00E76587"/>
    <w:rsid w:val="00E76E25"/>
    <w:rsid w:val="00E8234C"/>
    <w:rsid w:val="00E83AA9"/>
    <w:rsid w:val="00E84448"/>
    <w:rsid w:val="00E85928"/>
    <w:rsid w:val="00E87822"/>
    <w:rsid w:val="00E90395"/>
    <w:rsid w:val="00E9039E"/>
    <w:rsid w:val="00E90E49"/>
    <w:rsid w:val="00E917F9"/>
    <w:rsid w:val="00E925E7"/>
    <w:rsid w:val="00E9280F"/>
    <w:rsid w:val="00E9291C"/>
    <w:rsid w:val="00E93FFE"/>
    <w:rsid w:val="00E94043"/>
    <w:rsid w:val="00E9465D"/>
    <w:rsid w:val="00E94F83"/>
    <w:rsid w:val="00E94F8A"/>
    <w:rsid w:val="00E964FC"/>
    <w:rsid w:val="00E973B2"/>
    <w:rsid w:val="00EA1175"/>
    <w:rsid w:val="00EA13B6"/>
    <w:rsid w:val="00EA496A"/>
    <w:rsid w:val="00EA4BF0"/>
    <w:rsid w:val="00EA5129"/>
    <w:rsid w:val="00EA7A41"/>
    <w:rsid w:val="00EA7B37"/>
    <w:rsid w:val="00EA7C5E"/>
    <w:rsid w:val="00EB077B"/>
    <w:rsid w:val="00EB1A54"/>
    <w:rsid w:val="00EB2CFB"/>
    <w:rsid w:val="00EB41A0"/>
    <w:rsid w:val="00EB4EA2"/>
    <w:rsid w:val="00EB6C1E"/>
    <w:rsid w:val="00EB76DA"/>
    <w:rsid w:val="00EC0497"/>
    <w:rsid w:val="00EC27C6"/>
    <w:rsid w:val="00EC2D4E"/>
    <w:rsid w:val="00EC4207"/>
    <w:rsid w:val="00EC4C3C"/>
    <w:rsid w:val="00EC4CB2"/>
    <w:rsid w:val="00EC5653"/>
    <w:rsid w:val="00EC71CE"/>
    <w:rsid w:val="00EC7A8C"/>
    <w:rsid w:val="00ED1006"/>
    <w:rsid w:val="00ED377D"/>
    <w:rsid w:val="00ED490D"/>
    <w:rsid w:val="00ED4A76"/>
    <w:rsid w:val="00ED4DD1"/>
    <w:rsid w:val="00ED673E"/>
    <w:rsid w:val="00ED6ED8"/>
    <w:rsid w:val="00EE4B50"/>
    <w:rsid w:val="00EE5763"/>
    <w:rsid w:val="00EE5DBE"/>
    <w:rsid w:val="00EE63EB"/>
    <w:rsid w:val="00EE6D1E"/>
    <w:rsid w:val="00EF0619"/>
    <w:rsid w:val="00EF0D0E"/>
    <w:rsid w:val="00EF18FE"/>
    <w:rsid w:val="00EF1BFF"/>
    <w:rsid w:val="00EF2003"/>
    <w:rsid w:val="00EF2761"/>
    <w:rsid w:val="00EF2C87"/>
    <w:rsid w:val="00EF3C81"/>
    <w:rsid w:val="00EF413B"/>
    <w:rsid w:val="00EF4F8A"/>
    <w:rsid w:val="00EF5787"/>
    <w:rsid w:val="00EF5D67"/>
    <w:rsid w:val="00EF60D0"/>
    <w:rsid w:val="00EF697B"/>
    <w:rsid w:val="00EF700E"/>
    <w:rsid w:val="00F00F6B"/>
    <w:rsid w:val="00F01926"/>
    <w:rsid w:val="00F0297C"/>
    <w:rsid w:val="00F0528D"/>
    <w:rsid w:val="00F06028"/>
    <w:rsid w:val="00F0627C"/>
    <w:rsid w:val="00F06C67"/>
    <w:rsid w:val="00F06DFD"/>
    <w:rsid w:val="00F071D1"/>
    <w:rsid w:val="00F07533"/>
    <w:rsid w:val="00F10629"/>
    <w:rsid w:val="00F10A1A"/>
    <w:rsid w:val="00F10C70"/>
    <w:rsid w:val="00F112D0"/>
    <w:rsid w:val="00F113BF"/>
    <w:rsid w:val="00F13336"/>
    <w:rsid w:val="00F1466E"/>
    <w:rsid w:val="00F1528F"/>
    <w:rsid w:val="00F15FA5"/>
    <w:rsid w:val="00F16E45"/>
    <w:rsid w:val="00F176FE"/>
    <w:rsid w:val="00F209B7"/>
    <w:rsid w:val="00F22D63"/>
    <w:rsid w:val="00F2376F"/>
    <w:rsid w:val="00F24052"/>
    <w:rsid w:val="00F243D8"/>
    <w:rsid w:val="00F24C0F"/>
    <w:rsid w:val="00F27533"/>
    <w:rsid w:val="00F30828"/>
    <w:rsid w:val="00F313D6"/>
    <w:rsid w:val="00F3226A"/>
    <w:rsid w:val="00F34666"/>
    <w:rsid w:val="00F34977"/>
    <w:rsid w:val="00F354B4"/>
    <w:rsid w:val="00F36FFD"/>
    <w:rsid w:val="00F37B71"/>
    <w:rsid w:val="00F40AE4"/>
    <w:rsid w:val="00F40F0C"/>
    <w:rsid w:val="00F41935"/>
    <w:rsid w:val="00F4292E"/>
    <w:rsid w:val="00F42AFB"/>
    <w:rsid w:val="00F4371A"/>
    <w:rsid w:val="00F4451E"/>
    <w:rsid w:val="00F44D3A"/>
    <w:rsid w:val="00F45212"/>
    <w:rsid w:val="00F45D44"/>
    <w:rsid w:val="00F4766C"/>
    <w:rsid w:val="00F50548"/>
    <w:rsid w:val="00F507D1"/>
    <w:rsid w:val="00F5097D"/>
    <w:rsid w:val="00F50987"/>
    <w:rsid w:val="00F519CE"/>
    <w:rsid w:val="00F51ADA"/>
    <w:rsid w:val="00F5334C"/>
    <w:rsid w:val="00F5337A"/>
    <w:rsid w:val="00F539E1"/>
    <w:rsid w:val="00F607C5"/>
    <w:rsid w:val="00F60DEA"/>
    <w:rsid w:val="00F62DC5"/>
    <w:rsid w:val="00F62DCF"/>
    <w:rsid w:val="00F6302A"/>
    <w:rsid w:val="00F64C2B"/>
    <w:rsid w:val="00F651BE"/>
    <w:rsid w:val="00F67F53"/>
    <w:rsid w:val="00F703BE"/>
    <w:rsid w:val="00F71295"/>
    <w:rsid w:val="00F71F69"/>
    <w:rsid w:val="00F72B56"/>
    <w:rsid w:val="00F72B72"/>
    <w:rsid w:val="00F72DCC"/>
    <w:rsid w:val="00F74BB9"/>
    <w:rsid w:val="00F75582"/>
    <w:rsid w:val="00F764CD"/>
    <w:rsid w:val="00F76EFA"/>
    <w:rsid w:val="00F800A3"/>
    <w:rsid w:val="00F804BE"/>
    <w:rsid w:val="00F817CE"/>
    <w:rsid w:val="00F82323"/>
    <w:rsid w:val="00F83226"/>
    <w:rsid w:val="00F839F1"/>
    <w:rsid w:val="00F8456C"/>
    <w:rsid w:val="00F84892"/>
    <w:rsid w:val="00F8547E"/>
    <w:rsid w:val="00F859D8"/>
    <w:rsid w:val="00F862AF"/>
    <w:rsid w:val="00F868F5"/>
    <w:rsid w:val="00F8713A"/>
    <w:rsid w:val="00F9056A"/>
    <w:rsid w:val="00F90F8D"/>
    <w:rsid w:val="00F914C5"/>
    <w:rsid w:val="00F926BB"/>
    <w:rsid w:val="00F92764"/>
    <w:rsid w:val="00F92782"/>
    <w:rsid w:val="00F93AA9"/>
    <w:rsid w:val="00F96654"/>
    <w:rsid w:val="00F96985"/>
    <w:rsid w:val="00F96CF9"/>
    <w:rsid w:val="00F973DE"/>
    <w:rsid w:val="00F97838"/>
    <w:rsid w:val="00F97F91"/>
    <w:rsid w:val="00FA285A"/>
    <w:rsid w:val="00FA2BB3"/>
    <w:rsid w:val="00FA2EB1"/>
    <w:rsid w:val="00FA3A66"/>
    <w:rsid w:val="00FA692A"/>
    <w:rsid w:val="00FA7258"/>
    <w:rsid w:val="00FB1C43"/>
    <w:rsid w:val="00FB220C"/>
    <w:rsid w:val="00FB2392"/>
    <w:rsid w:val="00FB44B5"/>
    <w:rsid w:val="00FB4C80"/>
    <w:rsid w:val="00FB581B"/>
    <w:rsid w:val="00FB6A6A"/>
    <w:rsid w:val="00FB7322"/>
    <w:rsid w:val="00FC08E9"/>
    <w:rsid w:val="00FC1105"/>
    <w:rsid w:val="00FC4259"/>
    <w:rsid w:val="00FC5446"/>
    <w:rsid w:val="00FC5823"/>
    <w:rsid w:val="00FC657F"/>
    <w:rsid w:val="00FC7429"/>
    <w:rsid w:val="00FD07F6"/>
    <w:rsid w:val="00FD1AC5"/>
    <w:rsid w:val="00FD1EC8"/>
    <w:rsid w:val="00FD209A"/>
    <w:rsid w:val="00FD3084"/>
    <w:rsid w:val="00FD47ED"/>
    <w:rsid w:val="00FD74DB"/>
    <w:rsid w:val="00FD7660"/>
    <w:rsid w:val="00FD7A21"/>
    <w:rsid w:val="00FD7BC6"/>
    <w:rsid w:val="00FE0655"/>
    <w:rsid w:val="00FE1B3C"/>
    <w:rsid w:val="00FE2365"/>
    <w:rsid w:val="00FE4C7B"/>
    <w:rsid w:val="00FE7336"/>
    <w:rsid w:val="00FE75EC"/>
    <w:rsid w:val="00FE787C"/>
    <w:rsid w:val="00FF235E"/>
    <w:rsid w:val="00FF2E44"/>
    <w:rsid w:val="00FF2FD8"/>
    <w:rsid w:val="00FF3799"/>
    <w:rsid w:val="00FF45A5"/>
    <w:rsid w:val="00FF5C91"/>
    <w:rsid w:val="00FF7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2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ommentTextChar">
    <w:name w:val="Comment Text Char"/>
    <w:link w:val="CommentText"/>
    <w:semiHidden/>
    <w:rsid w:val="0052769E"/>
    <w:rPr>
      <w:rFonts w:ascii="Arial" w:hAnsi="Arial"/>
      <w:lang w:val="en-GB" w:eastAsia="zh-CN"/>
    </w:rPr>
  </w:style>
  <w:style w:type="character" w:styleId="Emphasis">
    <w:name w:val="Emphasis"/>
    <w:basedOn w:val="DefaultParagraphFont"/>
    <w:qFormat/>
    <w:rsid w:val="00961DF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2D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table" w:styleId="TableGrid">
    <w:name w:val="Table Grid"/>
    <w:basedOn w:val="TableNormal"/>
    <w:rsid w:val="0000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F413B"/>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oc-text2">
    <w:name w:val="Doc-text2"/>
    <w:basedOn w:val="Normal"/>
    <w:link w:val="Doc-text2Char"/>
    <w:qFormat/>
    <w:rsid w:val="006334A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34A6"/>
    <w:rPr>
      <w:rFonts w:ascii="Arial" w:eastAsia="MS Mincho" w:hAnsi="Arial"/>
      <w:szCs w:val="24"/>
      <w:lang w:val="en-GB" w:eastAsia="en-GB"/>
    </w:rPr>
  </w:style>
  <w:style w:type="paragraph" w:styleId="ListParagraph">
    <w:name w:val="List Paragraph"/>
    <w:basedOn w:val="Normal"/>
    <w:uiPriority w:val="34"/>
    <w:qFormat/>
    <w:rsid w:val="00EF2003"/>
    <w:pPr>
      <w:ind w:left="1304"/>
    </w:pPr>
  </w:style>
  <w:style w:type="paragraph" w:styleId="EndnoteText">
    <w:name w:val="endnote text"/>
    <w:basedOn w:val="Normal"/>
    <w:link w:val="EndnoteTextChar"/>
    <w:rsid w:val="00FD1AC5"/>
  </w:style>
  <w:style w:type="character" w:customStyle="1" w:styleId="EndnoteTextChar">
    <w:name w:val="Endnote Text Char"/>
    <w:link w:val="EndnoteText"/>
    <w:rsid w:val="00FD1AC5"/>
    <w:rPr>
      <w:rFonts w:ascii="Arial" w:hAnsi="Arial"/>
      <w:lang w:val="en-GB" w:eastAsia="zh-CN"/>
    </w:rPr>
  </w:style>
  <w:style w:type="character" w:styleId="EndnoteReference">
    <w:name w:val="endnote reference"/>
    <w:rsid w:val="00FD1AC5"/>
    <w:rPr>
      <w:vertAlign w:val="superscript"/>
    </w:rPr>
  </w:style>
  <w:style w:type="paragraph" w:styleId="Revision">
    <w:name w:val="Revision"/>
    <w:hidden/>
    <w:uiPriority w:val="99"/>
    <w:semiHidden/>
    <w:rsid w:val="00895D2C"/>
    <w:rPr>
      <w:rFonts w:ascii="Arial" w:hAnsi="Arial"/>
      <w:lang w:val="en-GB" w:eastAsia="zh-CN"/>
    </w:rPr>
  </w:style>
  <w:style w:type="character" w:customStyle="1" w:styleId="THChar">
    <w:name w:val="TH Char"/>
    <w:link w:val="TH"/>
    <w:rsid w:val="00AF0CE3"/>
    <w:rPr>
      <w:rFonts w:ascii="Arial" w:hAnsi="Arial"/>
      <w:b/>
      <w:lang w:val="en-GB"/>
    </w:rPr>
  </w:style>
  <w:style w:type="paragraph" w:styleId="NormalWeb">
    <w:name w:val="Normal (Web)"/>
    <w:basedOn w:val="Normal"/>
    <w:uiPriority w:val="99"/>
    <w:unhideWhenUsed/>
    <w:rsid w:val="002F748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ommentTextChar">
    <w:name w:val="Comment Text Char"/>
    <w:link w:val="CommentText"/>
    <w:semiHidden/>
    <w:rsid w:val="0052769E"/>
    <w:rPr>
      <w:rFonts w:ascii="Arial" w:hAnsi="Arial"/>
      <w:lang w:val="en-GB" w:eastAsia="zh-CN"/>
    </w:rPr>
  </w:style>
  <w:style w:type="character" w:styleId="Emphasis">
    <w:name w:val="Emphasis"/>
    <w:basedOn w:val="DefaultParagraphFont"/>
    <w:qFormat/>
    <w:rsid w:val="00961D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2236">
      <w:bodyDiv w:val="1"/>
      <w:marLeft w:val="0"/>
      <w:marRight w:val="0"/>
      <w:marTop w:val="0"/>
      <w:marBottom w:val="0"/>
      <w:divBdr>
        <w:top w:val="none" w:sz="0" w:space="0" w:color="auto"/>
        <w:left w:val="none" w:sz="0" w:space="0" w:color="auto"/>
        <w:bottom w:val="none" w:sz="0" w:space="0" w:color="auto"/>
        <w:right w:val="none" w:sz="0" w:space="0" w:color="auto"/>
      </w:divBdr>
      <w:divsChild>
        <w:div w:id="1037704921">
          <w:marLeft w:val="0"/>
          <w:marRight w:val="0"/>
          <w:marTop w:val="0"/>
          <w:marBottom w:val="0"/>
          <w:divBdr>
            <w:top w:val="none" w:sz="0" w:space="0" w:color="auto"/>
            <w:left w:val="none" w:sz="0" w:space="0" w:color="auto"/>
            <w:bottom w:val="none" w:sz="0" w:space="0" w:color="auto"/>
            <w:right w:val="none" w:sz="0" w:space="0" w:color="auto"/>
          </w:divBdr>
          <w:divsChild>
            <w:div w:id="179124997">
              <w:marLeft w:val="0"/>
              <w:marRight w:val="0"/>
              <w:marTop w:val="0"/>
              <w:marBottom w:val="0"/>
              <w:divBdr>
                <w:top w:val="none" w:sz="0" w:space="0" w:color="auto"/>
                <w:left w:val="none" w:sz="0" w:space="0" w:color="auto"/>
                <w:bottom w:val="none" w:sz="0" w:space="0" w:color="auto"/>
                <w:right w:val="none" w:sz="0" w:space="0" w:color="auto"/>
              </w:divBdr>
              <w:divsChild>
                <w:div w:id="63105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5012">
      <w:bodyDiv w:val="1"/>
      <w:marLeft w:val="0"/>
      <w:marRight w:val="0"/>
      <w:marTop w:val="0"/>
      <w:marBottom w:val="0"/>
      <w:divBdr>
        <w:top w:val="none" w:sz="0" w:space="0" w:color="auto"/>
        <w:left w:val="none" w:sz="0" w:space="0" w:color="auto"/>
        <w:bottom w:val="none" w:sz="0" w:space="0" w:color="auto"/>
        <w:right w:val="none" w:sz="0" w:space="0" w:color="auto"/>
      </w:divBdr>
      <w:divsChild>
        <w:div w:id="1382705778">
          <w:marLeft w:val="835"/>
          <w:marRight w:val="0"/>
          <w:marTop w:val="77"/>
          <w:marBottom w:val="0"/>
          <w:divBdr>
            <w:top w:val="none" w:sz="0" w:space="0" w:color="auto"/>
            <w:left w:val="none" w:sz="0" w:space="0" w:color="auto"/>
            <w:bottom w:val="none" w:sz="0" w:space="0" w:color="auto"/>
            <w:right w:val="none" w:sz="0" w:space="0" w:color="auto"/>
          </w:divBdr>
        </w:div>
        <w:div w:id="1565290392">
          <w:marLeft w:val="1411"/>
          <w:marRight w:val="0"/>
          <w:marTop w:val="77"/>
          <w:marBottom w:val="0"/>
          <w:divBdr>
            <w:top w:val="none" w:sz="0" w:space="0" w:color="auto"/>
            <w:left w:val="none" w:sz="0" w:space="0" w:color="auto"/>
            <w:bottom w:val="none" w:sz="0" w:space="0" w:color="auto"/>
            <w:right w:val="none" w:sz="0" w:space="0" w:color="auto"/>
          </w:divBdr>
        </w:div>
        <w:div w:id="313527479">
          <w:marLeft w:val="1411"/>
          <w:marRight w:val="0"/>
          <w:marTop w:val="77"/>
          <w:marBottom w:val="0"/>
          <w:divBdr>
            <w:top w:val="none" w:sz="0" w:space="0" w:color="auto"/>
            <w:left w:val="none" w:sz="0" w:space="0" w:color="auto"/>
            <w:bottom w:val="none" w:sz="0" w:space="0" w:color="auto"/>
            <w:right w:val="none" w:sz="0" w:space="0" w:color="auto"/>
          </w:divBdr>
        </w:div>
        <w:div w:id="30038133">
          <w:marLeft w:val="835"/>
          <w:marRight w:val="0"/>
          <w:marTop w:val="77"/>
          <w:marBottom w:val="0"/>
          <w:divBdr>
            <w:top w:val="none" w:sz="0" w:space="0" w:color="auto"/>
            <w:left w:val="none" w:sz="0" w:space="0" w:color="auto"/>
            <w:bottom w:val="none" w:sz="0" w:space="0" w:color="auto"/>
            <w:right w:val="none" w:sz="0" w:space="0" w:color="auto"/>
          </w:divBdr>
        </w:div>
        <w:div w:id="922177149">
          <w:marLeft w:val="1411"/>
          <w:marRight w:val="0"/>
          <w:marTop w:val="77"/>
          <w:marBottom w:val="0"/>
          <w:divBdr>
            <w:top w:val="none" w:sz="0" w:space="0" w:color="auto"/>
            <w:left w:val="none" w:sz="0" w:space="0" w:color="auto"/>
            <w:bottom w:val="none" w:sz="0" w:space="0" w:color="auto"/>
            <w:right w:val="none" w:sz="0" w:space="0" w:color="auto"/>
          </w:divBdr>
        </w:div>
        <w:div w:id="147014607">
          <w:marLeft w:val="835"/>
          <w:marRight w:val="0"/>
          <w:marTop w:val="77"/>
          <w:marBottom w:val="0"/>
          <w:divBdr>
            <w:top w:val="none" w:sz="0" w:space="0" w:color="auto"/>
            <w:left w:val="none" w:sz="0" w:space="0" w:color="auto"/>
            <w:bottom w:val="none" w:sz="0" w:space="0" w:color="auto"/>
            <w:right w:val="none" w:sz="0" w:space="0" w:color="auto"/>
          </w:divBdr>
        </w:div>
      </w:divsChild>
    </w:div>
    <w:div w:id="102310115">
      <w:bodyDiv w:val="1"/>
      <w:marLeft w:val="0"/>
      <w:marRight w:val="0"/>
      <w:marTop w:val="0"/>
      <w:marBottom w:val="0"/>
      <w:divBdr>
        <w:top w:val="none" w:sz="0" w:space="0" w:color="auto"/>
        <w:left w:val="none" w:sz="0" w:space="0" w:color="auto"/>
        <w:bottom w:val="none" w:sz="0" w:space="0" w:color="auto"/>
        <w:right w:val="none" w:sz="0" w:space="0" w:color="auto"/>
      </w:divBdr>
    </w:div>
    <w:div w:id="113450881">
      <w:bodyDiv w:val="1"/>
      <w:marLeft w:val="0"/>
      <w:marRight w:val="0"/>
      <w:marTop w:val="0"/>
      <w:marBottom w:val="0"/>
      <w:divBdr>
        <w:top w:val="none" w:sz="0" w:space="0" w:color="auto"/>
        <w:left w:val="none" w:sz="0" w:space="0" w:color="auto"/>
        <w:bottom w:val="none" w:sz="0" w:space="0" w:color="auto"/>
        <w:right w:val="none" w:sz="0" w:space="0" w:color="auto"/>
      </w:divBdr>
      <w:divsChild>
        <w:div w:id="103767984">
          <w:marLeft w:val="274"/>
          <w:marRight w:val="0"/>
          <w:marTop w:val="86"/>
          <w:marBottom w:val="0"/>
          <w:divBdr>
            <w:top w:val="none" w:sz="0" w:space="0" w:color="auto"/>
            <w:left w:val="none" w:sz="0" w:space="0" w:color="auto"/>
            <w:bottom w:val="none" w:sz="0" w:space="0" w:color="auto"/>
            <w:right w:val="none" w:sz="0" w:space="0" w:color="auto"/>
          </w:divBdr>
        </w:div>
      </w:divsChild>
    </w:div>
    <w:div w:id="141628314">
      <w:bodyDiv w:val="1"/>
      <w:marLeft w:val="0"/>
      <w:marRight w:val="0"/>
      <w:marTop w:val="0"/>
      <w:marBottom w:val="0"/>
      <w:divBdr>
        <w:top w:val="none" w:sz="0" w:space="0" w:color="auto"/>
        <w:left w:val="none" w:sz="0" w:space="0" w:color="auto"/>
        <w:bottom w:val="none" w:sz="0" w:space="0" w:color="auto"/>
        <w:right w:val="none" w:sz="0" w:space="0" w:color="auto"/>
      </w:divBdr>
    </w:div>
    <w:div w:id="165370170">
      <w:bodyDiv w:val="1"/>
      <w:marLeft w:val="0"/>
      <w:marRight w:val="0"/>
      <w:marTop w:val="0"/>
      <w:marBottom w:val="0"/>
      <w:divBdr>
        <w:top w:val="none" w:sz="0" w:space="0" w:color="auto"/>
        <w:left w:val="none" w:sz="0" w:space="0" w:color="auto"/>
        <w:bottom w:val="none" w:sz="0" w:space="0" w:color="auto"/>
        <w:right w:val="none" w:sz="0" w:space="0" w:color="auto"/>
      </w:divBdr>
      <w:divsChild>
        <w:div w:id="1655143012">
          <w:marLeft w:val="0"/>
          <w:marRight w:val="0"/>
          <w:marTop w:val="0"/>
          <w:marBottom w:val="0"/>
          <w:divBdr>
            <w:top w:val="none" w:sz="0" w:space="0" w:color="auto"/>
            <w:left w:val="none" w:sz="0" w:space="0" w:color="auto"/>
            <w:bottom w:val="none" w:sz="0" w:space="0" w:color="auto"/>
            <w:right w:val="none" w:sz="0" w:space="0" w:color="auto"/>
          </w:divBdr>
          <w:divsChild>
            <w:div w:id="707292434">
              <w:marLeft w:val="0"/>
              <w:marRight w:val="0"/>
              <w:marTop w:val="0"/>
              <w:marBottom w:val="0"/>
              <w:divBdr>
                <w:top w:val="none" w:sz="0" w:space="0" w:color="auto"/>
                <w:left w:val="none" w:sz="0" w:space="0" w:color="auto"/>
                <w:bottom w:val="none" w:sz="0" w:space="0" w:color="auto"/>
                <w:right w:val="none" w:sz="0" w:space="0" w:color="auto"/>
              </w:divBdr>
              <w:divsChild>
                <w:div w:id="207041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008">
      <w:bodyDiv w:val="1"/>
      <w:marLeft w:val="0"/>
      <w:marRight w:val="0"/>
      <w:marTop w:val="0"/>
      <w:marBottom w:val="0"/>
      <w:divBdr>
        <w:top w:val="none" w:sz="0" w:space="0" w:color="auto"/>
        <w:left w:val="none" w:sz="0" w:space="0" w:color="auto"/>
        <w:bottom w:val="none" w:sz="0" w:space="0" w:color="auto"/>
        <w:right w:val="none" w:sz="0" w:space="0" w:color="auto"/>
      </w:divBdr>
    </w:div>
    <w:div w:id="265387273">
      <w:bodyDiv w:val="1"/>
      <w:marLeft w:val="0"/>
      <w:marRight w:val="0"/>
      <w:marTop w:val="0"/>
      <w:marBottom w:val="0"/>
      <w:divBdr>
        <w:top w:val="none" w:sz="0" w:space="0" w:color="auto"/>
        <w:left w:val="none" w:sz="0" w:space="0" w:color="auto"/>
        <w:bottom w:val="none" w:sz="0" w:space="0" w:color="auto"/>
        <w:right w:val="none" w:sz="0" w:space="0" w:color="auto"/>
      </w:divBdr>
    </w:div>
    <w:div w:id="300773848">
      <w:bodyDiv w:val="1"/>
      <w:marLeft w:val="0"/>
      <w:marRight w:val="0"/>
      <w:marTop w:val="0"/>
      <w:marBottom w:val="0"/>
      <w:divBdr>
        <w:top w:val="none" w:sz="0" w:space="0" w:color="auto"/>
        <w:left w:val="none" w:sz="0" w:space="0" w:color="auto"/>
        <w:bottom w:val="none" w:sz="0" w:space="0" w:color="auto"/>
        <w:right w:val="none" w:sz="0" w:space="0" w:color="auto"/>
      </w:divBdr>
    </w:div>
    <w:div w:id="334918498">
      <w:bodyDiv w:val="1"/>
      <w:marLeft w:val="0"/>
      <w:marRight w:val="0"/>
      <w:marTop w:val="0"/>
      <w:marBottom w:val="0"/>
      <w:divBdr>
        <w:top w:val="none" w:sz="0" w:space="0" w:color="auto"/>
        <w:left w:val="none" w:sz="0" w:space="0" w:color="auto"/>
        <w:bottom w:val="none" w:sz="0" w:space="0" w:color="auto"/>
        <w:right w:val="none" w:sz="0" w:space="0" w:color="auto"/>
      </w:divBdr>
    </w:div>
    <w:div w:id="335037955">
      <w:bodyDiv w:val="1"/>
      <w:marLeft w:val="0"/>
      <w:marRight w:val="0"/>
      <w:marTop w:val="0"/>
      <w:marBottom w:val="0"/>
      <w:divBdr>
        <w:top w:val="none" w:sz="0" w:space="0" w:color="auto"/>
        <w:left w:val="none" w:sz="0" w:space="0" w:color="auto"/>
        <w:bottom w:val="none" w:sz="0" w:space="0" w:color="auto"/>
        <w:right w:val="none" w:sz="0" w:space="0" w:color="auto"/>
      </w:divBdr>
    </w:div>
    <w:div w:id="370420224">
      <w:bodyDiv w:val="1"/>
      <w:marLeft w:val="0"/>
      <w:marRight w:val="0"/>
      <w:marTop w:val="0"/>
      <w:marBottom w:val="0"/>
      <w:divBdr>
        <w:top w:val="none" w:sz="0" w:space="0" w:color="auto"/>
        <w:left w:val="none" w:sz="0" w:space="0" w:color="auto"/>
        <w:bottom w:val="none" w:sz="0" w:space="0" w:color="auto"/>
        <w:right w:val="none" w:sz="0" w:space="0" w:color="auto"/>
      </w:divBdr>
    </w:div>
    <w:div w:id="370804825">
      <w:bodyDiv w:val="1"/>
      <w:marLeft w:val="0"/>
      <w:marRight w:val="0"/>
      <w:marTop w:val="0"/>
      <w:marBottom w:val="0"/>
      <w:divBdr>
        <w:top w:val="none" w:sz="0" w:space="0" w:color="auto"/>
        <w:left w:val="none" w:sz="0" w:space="0" w:color="auto"/>
        <w:bottom w:val="none" w:sz="0" w:space="0" w:color="auto"/>
        <w:right w:val="none" w:sz="0" w:space="0" w:color="auto"/>
      </w:divBdr>
    </w:div>
    <w:div w:id="454838345">
      <w:bodyDiv w:val="1"/>
      <w:marLeft w:val="0"/>
      <w:marRight w:val="0"/>
      <w:marTop w:val="0"/>
      <w:marBottom w:val="0"/>
      <w:divBdr>
        <w:top w:val="none" w:sz="0" w:space="0" w:color="auto"/>
        <w:left w:val="none" w:sz="0" w:space="0" w:color="auto"/>
        <w:bottom w:val="none" w:sz="0" w:space="0" w:color="auto"/>
        <w:right w:val="none" w:sz="0" w:space="0" w:color="auto"/>
      </w:divBdr>
    </w:div>
    <w:div w:id="461459896">
      <w:bodyDiv w:val="1"/>
      <w:marLeft w:val="0"/>
      <w:marRight w:val="0"/>
      <w:marTop w:val="0"/>
      <w:marBottom w:val="0"/>
      <w:divBdr>
        <w:top w:val="none" w:sz="0" w:space="0" w:color="auto"/>
        <w:left w:val="none" w:sz="0" w:space="0" w:color="auto"/>
        <w:bottom w:val="none" w:sz="0" w:space="0" w:color="auto"/>
        <w:right w:val="none" w:sz="0" w:space="0" w:color="auto"/>
      </w:divBdr>
    </w:div>
    <w:div w:id="488210060">
      <w:bodyDiv w:val="1"/>
      <w:marLeft w:val="0"/>
      <w:marRight w:val="0"/>
      <w:marTop w:val="0"/>
      <w:marBottom w:val="0"/>
      <w:divBdr>
        <w:top w:val="none" w:sz="0" w:space="0" w:color="auto"/>
        <w:left w:val="none" w:sz="0" w:space="0" w:color="auto"/>
        <w:bottom w:val="none" w:sz="0" w:space="0" w:color="auto"/>
        <w:right w:val="none" w:sz="0" w:space="0" w:color="auto"/>
      </w:divBdr>
    </w:div>
    <w:div w:id="533932945">
      <w:bodyDiv w:val="1"/>
      <w:marLeft w:val="0"/>
      <w:marRight w:val="0"/>
      <w:marTop w:val="0"/>
      <w:marBottom w:val="0"/>
      <w:divBdr>
        <w:top w:val="none" w:sz="0" w:space="0" w:color="auto"/>
        <w:left w:val="none" w:sz="0" w:space="0" w:color="auto"/>
        <w:bottom w:val="none" w:sz="0" w:space="0" w:color="auto"/>
        <w:right w:val="none" w:sz="0" w:space="0" w:color="auto"/>
      </w:divBdr>
    </w:div>
    <w:div w:id="560604564">
      <w:bodyDiv w:val="1"/>
      <w:marLeft w:val="0"/>
      <w:marRight w:val="0"/>
      <w:marTop w:val="0"/>
      <w:marBottom w:val="0"/>
      <w:divBdr>
        <w:top w:val="none" w:sz="0" w:space="0" w:color="auto"/>
        <w:left w:val="none" w:sz="0" w:space="0" w:color="auto"/>
        <w:bottom w:val="none" w:sz="0" w:space="0" w:color="auto"/>
        <w:right w:val="none" w:sz="0" w:space="0" w:color="auto"/>
      </w:divBdr>
    </w:div>
    <w:div w:id="589391570">
      <w:bodyDiv w:val="1"/>
      <w:marLeft w:val="0"/>
      <w:marRight w:val="0"/>
      <w:marTop w:val="0"/>
      <w:marBottom w:val="0"/>
      <w:divBdr>
        <w:top w:val="none" w:sz="0" w:space="0" w:color="auto"/>
        <w:left w:val="none" w:sz="0" w:space="0" w:color="auto"/>
        <w:bottom w:val="none" w:sz="0" w:space="0" w:color="auto"/>
        <w:right w:val="none" w:sz="0" w:space="0" w:color="auto"/>
      </w:divBdr>
    </w:div>
    <w:div w:id="740446282">
      <w:bodyDiv w:val="1"/>
      <w:marLeft w:val="0"/>
      <w:marRight w:val="0"/>
      <w:marTop w:val="0"/>
      <w:marBottom w:val="0"/>
      <w:divBdr>
        <w:top w:val="none" w:sz="0" w:space="0" w:color="auto"/>
        <w:left w:val="none" w:sz="0" w:space="0" w:color="auto"/>
        <w:bottom w:val="none" w:sz="0" w:space="0" w:color="auto"/>
        <w:right w:val="none" w:sz="0" w:space="0" w:color="auto"/>
      </w:divBdr>
    </w:div>
    <w:div w:id="766117373">
      <w:bodyDiv w:val="1"/>
      <w:marLeft w:val="0"/>
      <w:marRight w:val="0"/>
      <w:marTop w:val="0"/>
      <w:marBottom w:val="0"/>
      <w:divBdr>
        <w:top w:val="none" w:sz="0" w:space="0" w:color="auto"/>
        <w:left w:val="none" w:sz="0" w:space="0" w:color="auto"/>
        <w:bottom w:val="none" w:sz="0" w:space="0" w:color="auto"/>
        <w:right w:val="none" w:sz="0" w:space="0" w:color="auto"/>
      </w:divBdr>
    </w:div>
    <w:div w:id="811796339">
      <w:bodyDiv w:val="1"/>
      <w:marLeft w:val="0"/>
      <w:marRight w:val="0"/>
      <w:marTop w:val="0"/>
      <w:marBottom w:val="0"/>
      <w:divBdr>
        <w:top w:val="none" w:sz="0" w:space="0" w:color="auto"/>
        <w:left w:val="none" w:sz="0" w:space="0" w:color="auto"/>
        <w:bottom w:val="none" w:sz="0" w:space="0" w:color="auto"/>
        <w:right w:val="none" w:sz="0" w:space="0" w:color="auto"/>
      </w:divBdr>
      <w:divsChild>
        <w:div w:id="1201940280">
          <w:marLeft w:val="1411"/>
          <w:marRight w:val="0"/>
          <w:marTop w:val="77"/>
          <w:marBottom w:val="0"/>
          <w:divBdr>
            <w:top w:val="none" w:sz="0" w:space="0" w:color="auto"/>
            <w:left w:val="none" w:sz="0" w:space="0" w:color="auto"/>
            <w:bottom w:val="none" w:sz="0" w:space="0" w:color="auto"/>
            <w:right w:val="none" w:sz="0" w:space="0" w:color="auto"/>
          </w:divBdr>
        </w:div>
      </w:divsChild>
    </w:div>
    <w:div w:id="882983473">
      <w:bodyDiv w:val="1"/>
      <w:marLeft w:val="0"/>
      <w:marRight w:val="0"/>
      <w:marTop w:val="0"/>
      <w:marBottom w:val="0"/>
      <w:divBdr>
        <w:top w:val="none" w:sz="0" w:space="0" w:color="auto"/>
        <w:left w:val="none" w:sz="0" w:space="0" w:color="auto"/>
        <w:bottom w:val="none" w:sz="0" w:space="0" w:color="auto"/>
        <w:right w:val="none" w:sz="0" w:space="0" w:color="auto"/>
      </w:divBdr>
    </w:div>
    <w:div w:id="895436047">
      <w:bodyDiv w:val="1"/>
      <w:marLeft w:val="0"/>
      <w:marRight w:val="0"/>
      <w:marTop w:val="0"/>
      <w:marBottom w:val="0"/>
      <w:divBdr>
        <w:top w:val="none" w:sz="0" w:space="0" w:color="auto"/>
        <w:left w:val="none" w:sz="0" w:space="0" w:color="auto"/>
        <w:bottom w:val="none" w:sz="0" w:space="0" w:color="auto"/>
        <w:right w:val="none" w:sz="0" w:space="0" w:color="auto"/>
      </w:divBdr>
      <w:divsChild>
        <w:div w:id="310132752">
          <w:marLeft w:val="835"/>
          <w:marRight w:val="0"/>
          <w:marTop w:val="96"/>
          <w:marBottom w:val="0"/>
          <w:divBdr>
            <w:top w:val="none" w:sz="0" w:space="0" w:color="auto"/>
            <w:left w:val="none" w:sz="0" w:space="0" w:color="auto"/>
            <w:bottom w:val="none" w:sz="0" w:space="0" w:color="auto"/>
            <w:right w:val="none" w:sz="0" w:space="0" w:color="auto"/>
          </w:divBdr>
        </w:div>
      </w:divsChild>
    </w:div>
    <w:div w:id="932972538">
      <w:bodyDiv w:val="1"/>
      <w:marLeft w:val="0"/>
      <w:marRight w:val="0"/>
      <w:marTop w:val="0"/>
      <w:marBottom w:val="0"/>
      <w:divBdr>
        <w:top w:val="none" w:sz="0" w:space="0" w:color="auto"/>
        <w:left w:val="none" w:sz="0" w:space="0" w:color="auto"/>
        <w:bottom w:val="none" w:sz="0" w:space="0" w:color="auto"/>
        <w:right w:val="none" w:sz="0" w:space="0" w:color="auto"/>
      </w:divBdr>
    </w:div>
    <w:div w:id="1002051735">
      <w:bodyDiv w:val="1"/>
      <w:marLeft w:val="0"/>
      <w:marRight w:val="0"/>
      <w:marTop w:val="0"/>
      <w:marBottom w:val="0"/>
      <w:divBdr>
        <w:top w:val="none" w:sz="0" w:space="0" w:color="auto"/>
        <w:left w:val="none" w:sz="0" w:space="0" w:color="auto"/>
        <w:bottom w:val="none" w:sz="0" w:space="0" w:color="auto"/>
        <w:right w:val="none" w:sz="0" w:space="0" w:color="auto"/>
      </w:divBdr>
    </w:div>
    <w:div w:id="1021858825">
      <w:bodyDiv w:val="1"/>
      <w:marLeft w:val="0"/>
      <w:marRight w:val="0"/>
      <w:marTop w:val="0"/>
      <w:marBottom w:val="0"/>
      <w:divBdr>
        <w:top w:val="none" w:sz="0" w:space="0" w:color="auto"/>
        <w:left w:val="none" w:sz="0" w:space="0" w:color="auto"/>
        <w:bottom w:val="none" w:sz="0" w:space="0" w:color="auto"/>
        <w:right w:val="none" w:sz="0" w:space="0" w:color="auto"/>
      </w:divBdr>
    </w:div>
    <w:div w:id="1067149723">
      <w:bodyDiv w:val="1"/>
      <w:marLeft w:val="0"/>
      <w:marRight w:val="0"/>
      <w:marTop w:val="0"/>
      <w:marBottom w:val="0"/>
      <w:divBdr>
        <w:top w:val="none" w:sz="0" w:space="0" w:color="auto"/>
        <w:left w:val="none" w:sz="0" w:space="0" w:color="auto"/>
        <w:bottom w:val="none" w:sz="0" w:space="0" w:color="auto"/>
        <w:right w:val="none" w:sz="0" w:space="0" w:color="auto"/>
      </w:divBdr>
    </w:div>
    <w:div w:id="1091438528">
      <w:bodyDiv w:val="1"/>
      <w:marLeft w:val="0"/>
      <w:marRight w:val="0"/>
      <w:marTop w:val="0"/>
      <w:marBottom w:val="0"/>
      <w:divBdr>
        <w:top w:val="none" w:sz="0" w:space="0" w:color="auto"/>
        <w:left w:val="none" w:sz="0" w:space="0" w:color="auto"/>
        <w:bottom w:val="none" w:sz="0" w:space="0" w:color="auto"/>
        <w:right w:val="none" w:sz="0" w:space="0" w:color="auto"/>
      </w:divBdr>
      <w:divsChild>
        <w:div w:id="47345713">
          <w:marLeft w:val="1411"/>
          <w:marRight w:val="0"/>
          <w:marTop w:val="86"/>
          <w:marBottom w:val="0"/>
          <w:divBdr>
            <w:top w:val="none" w:sz="0" w:space="0" w:color="auto"/>
            <w:left w:val="none" w:sz="0" w:space="0" w:color="auto"/>
            <w:bottom w:val="none" w:sz="0" w:space="0" w:color="auto"/>
            <w:right w:val="none" w:sz="0" w:space="0" w:color="auto"/>
          </w:divBdr>
        </w:div>
      </w:divsChild>
    </w:div>
    <w:div w:id="1099831022">
      <w:bodyDiv w:val="1"/>
      <w:marLeft w:val="0"/>
      <w:marRight w:val="0"/>
      <w:marTop w:val="0"/>
      <w:marBottom w:val="0"/>
      <w:divBdr>
        <w:top w:val="none" w:sz="0" w:space="0" w:color="auto"/>
        <w:left w:val="none" w:sz="0" w:space="0" w:color="auto"/>
        <w:bottom w:val="none" w:sz="0" w:space="0" w:color="auto"/>
        <w:right w:val="none" w:sz="0" w:space="0" w:color="auto"/>
      </w:divBdr>
      <w:divsChild>
        <w:div w:id="642469367">
          <w:marLeft w:val="1411"/>
          <w:marRight w:val="0"/>
          <w:marTop w:val="86"/>
          <w:marBottom w:val="0"/>
          <w:divBdr>
            <w:top w:val="none" w:sz="0" w:space="0" w:color="auto"/>
            <w:left w:val="none" w:sz="0" w:space="0" w:color="auto"/>
            <w:bottom w:val="none" w:sz="0" w:space="0" w:color="auto"/>
            <w:right w:val="none" w:sz="0" w:space="0" w:color="auto"/>
          </w:divBdr>
        </w:div>
        <w:div w:id="107435439">
          <w:marLeft w:val="1973"/>
          <w:marRight w:val="0"/>
          <w:marTop w:val="77"/>
          <w:marBottom w:val="0"/>
          <w:divBdr>
            <w:top w:val="none" w:sz="0" w:space="0" w:color="auto"/>
            <w:left w:val="none" w:sz="0" w:space="0" w:color="auto"/>
            <w:bottom w:val="none" w:sz="0" w:space="0" w:color="auto"/>
            <w:right w:val="none" w:sz="0" w:space="0" w:color="auto"/>
          </w:divBdr>
        </w:div>
      </w:divsChild>
    </w:div>
    <w:div w:id="1114207586">
      <w:bodyDiv w:val="1"/>
      <w:marLeft w:val="0"/>
      <w:marRight w:val="0"/>
      <w:marTop w:val="0"/>
      <w:marBottom w:val="0"/>
      <w:divBdr>
        <w:top w:val="none" w:sz="0" w:space="0" w:color="auto"/>
        <w:left w:val="none" w:sz="0" w:space="0" w:color="auto"/>
        <w:bottom w:val="none" w:sz="0" w:space="0" w:color="auto"/>
        <w:right w:val="none" w:sz="0" w:space="0" w:color="auto"/>
      </w:divBdr>
      <w:divsChild>
        <w:div w:id="579798925">
          <w:marLeft w:val="274"/>
          <w:marRight w:val="0"/>
          <w:marTop w:val="96"/>
          <w:marBottom w:val="0"/>
          <w:divBdr>
            <w:top w:val="none" w:sz="0" w:space="0" w:color="auto"/>
            <w:left w:val="none" w:sz="0" w:space="0" w:color="auto"/>
            <w:bottom w:val="none" w:sz="0" w:space="0" w:color="auto"/>
            <w:right w:val="none" w:sz="0" w:space="0" w:color="auto"/>
          </w:divBdr>
        </w:div>
      </w:divsChild>
    </w:div>
    <w:div w:id="1195925079">
      <w:bodyDiv w:val="1"/>
      <w:marLeft w:val="0"/>
      <w:marRight w:val="0"/>
      <w:marTop w:val="0"/>
      <w:marBottom w:val="0"/>
      <w:divBdr>
        <w:top w:val="none" w:sz="0" w:space="0" w:color="auto"/>
        <w:left w:val="none" w:sz="0" w:space="0" w:color="auto"/>
        <w:bottom w:val="none" w:sz="0" w:space="0" w:color="auto"/>
        <w:right w:val="none" w:sz="0" w:space="0" w:color="auto"/>
      </w:divBdr>
      <w:divsChild>
        <w:div w:id="784233174">
          <w:marLeft w:val="1411"/>
          <w:marRight w:val="0"/>
          <w:marTop w:val="86"/>
          <w:marBottom w:val="0"/>
          <w:divBdr>
            <w:top w:val="none" w:sz="0" w:space="0" w:color="auto"/>
            <w:left w:val="none" w:sz="0" w:space="0" w:color="auto"/>
            <w:bottom w:val="none" w:sz="0" w:space="0" w:color="auto"/>
            <w:right w:val="none" w:sz="0" w:space="0" w:color="auto"/>
          </w:divBdr>
        </w:div>
        <w:div w:id="1818644718">
          <w:marLeft w:val="1973"/>
          <w:marRight w:val="0"/>
          <w:marTop w:val="77"/>
          <w:marBottom w:val="0"/>
          <w:divBdr>
            <w:top w:val="none" w:sz="0" w:space="0" w:color="auto"/>
            <w:left w:val="none" w:sz="0" w:space="0" w:color="auto"/>
            <w:bottom w:val="none" w:sz="0" w:space="0" w:color="auto"/>
            <w:right w:val="none" w:sz="0" w:space="0" w:color="auto"/>
          </w:divBdr>
        </w:div>
        <w:div w:id="271206018">
          <w:marLeft w:val="1411"/>
          <w:marRight w:val="0"/>
          <w:marTop w:val="86"/>
          <w:marBottom w:val="0"/>
          <w:divBdr>
            <w:top w:val="none" w:sz="0" w:space="0" w:color="auto"/>
            <w:left w:val="none" w:sz="0" w:space="0" w:color="auto"/>
            <w:bottom w:val="none" w:sz="0" w:space="0" w:color="auto"/>
            <w:right w:val="none" w:sz="0" w:space="0" w:color="auto"/>
          </w:divBdr>
        </w:div>
        <w:div w:id="257906867">
          <w:marLeft w:val="1411"/>
          <w:marRight w:val="0"/>
          <w:marTop w:val="86"/>
          <w:marBottom w:val="0"/>
          <w:divBdr>
            <w:top w:val="none" w:sz="0" w:space="0" w:color="auto"/>
            <w:left w:val="none" w:sz="0" w:space="0" w:color="auto"/>
            <w:bottom w:val="none" w:sz="0" w:space="0" w:color="auto"/>
            <w:right w:val="none" w:sz="0" w:space="0" w:color="auto"/>
          </w:divBdr>
        </w:div>
        <w:div w:id="1773554144">
          <w:marLeft w:val="1411"/>
          <w:marRight w:val="0"/>
          <w:marTop w:val="86"/>
          <w:marBottom w:val="0"/>
          <w:divBdr>
            <w:top w:val="none" w:sz="0" w:space="0" w:color="auto"/>
            <w:left w:val="none" w:sz="0" w:space="0" w:color="auto"/>
            <w:bottom w:val="none" w:sz="0" w:space="0" w:color="auto"/>
            <w:right w:val="none" w:sz="0" w:space="0" w:color="auto"/>
          </w:divBdr>
        </w:div>
      </w:divsChild>
    </w:div>
    <w:div w:id="1244492715">
      <w:bodyDiv w:val="1"/>
      <w:marLeft w:val="0"/>
      <w:marRight w:val="0"/>
      <w:marTop w:val="0"/>
      <w:marBottom w:val="0"/>
      <w:divBdr>
        <w:top w:val="none" w:sz="0" w:space="0" w:color="auto"/>
        <w:left w:val="none" w:sz="0" w:space="0" w:color="auto"/>
        <w:bottom w:val="none" w:sz="0" w:space="0" w:color="auto"/>
        <w:right w:val="none" w:sz="0" w:space="0" w:color="auto"/>
      </w:divBdr>
    </w:div>
    <w:div w:id="1303190225">
      <w:bodyDiv w:val="1"/>
      <w:marLeft w:val="0"/>
      <w:marRight w:val="0"/>
      <w:marTop w:val="0"/>
      <w:marBottom w:val="0"/>
      <w:divBdr>
        <w:top w:val="none" w:sz="0" w:space="0" w:color="auto"/>
        <w:left w:val="none" w:sz="0" w:space="0" w:color="auto"/>
        <w:bottom w:val="none" w:sz="0" w:space="0" w:color="auto"/>
        <w:right w:val="none" w:sz="0" w:space="0" w:color="auto"/>
      </w:divBdr>
      <w:divsChild>
        <w:div w:id="2067295538">
          <w:marLeft w:val="1411"/>
          <w:marRight w:val="0"/>
          <w:marTop w:val="86"/>
          <w:marBottom w:val="0"/>
          <w:divBdr>
            <w:top w:val="none" w:sz="0" w:space="0" w:color="auto"/>
            <w:left w:val="none" w:sz="0" w:space="0" w:color="auto"/>
            <w:bottom w:val="none" w:sz="0" w:space="0" w:color="auto"/>
            <w:right w:val="none" w:sz="0" w:space="0" w:color="auto"/>
          </w:divBdr>
        </w:div>
      </w:divsChild>
    </w:div>
    <w:div w:id="1303729970">
      <w:bodyDiv w:val="1"/>
      <w:marLeft w:val="0"/>
      <w:marRight w:val="0"/>
      <w:marTop w:val="0"/>
      <w:marBottom w:val="0"/>
      <w:divBdr>
        <w:top w:val="none" w:sz="0" w:space="0" w:color="auto"/>
        <w:left w:val="none" w:sz="0" w:space="0" w:color="auto"/>
        <w:bottom w:val="none" w:sz="0" w:space="0" w:color="auto"/>
        <w:right w:val="none" w:sz="0" w:space="0" w:color="auto"/>
      </w:divBdr>
    </w:div>
    <w:div w:id="1310130482">
      <w:bodyDiv w:val="1"/>
      <w:marLeft w:val="0"/>
      <w:marRight w:val="0"/>
      <w:marTop w:val="0"/>
      <w:marBottom w:val="0"/>
      <w:divBdr>
        <w:top w:val="none" w:sz="0" w:space="0" w:color="auto"/>
        <w:left w:val="none" w:sz="0" w:space="0" w:color="auto"/>
        <w:bottom w:val="none" w:sz="0" w:space="0" w:color="auto"/>
        <w:right w:val="none" w:sz="0" w:space="0" w:color="auto"/>
      </w:divBdr>
    </w:div>
    <w:div w:id="1338072011">
      <w:bodyDiv w:val="1"/>
      <w:marLeft w:val="0"/>
      <w:marRight w:val="0"/>
      <w:marTop w:val="0"/>
      <w:marBottom w:val="0"/>
      <w:divBdr>
        <w:top w:val="none" w:sz="0" w:space="0" w:color="auto"/>
        <w:left w:val="none" w:sz="0" w:space="0" w:color="auto"/>
        <w:bottom w:val="none" w:sz="0" w:space="0" w:color="auto"/>
        <w:right w:val="none" w:sz="0" w:space="0" w:color="auto"/>
      </w:divBdr>
    </w:div>
    <w:div w:id="1372683899">
      <w:bodyDiv w:val="1"/>
      <w:marLeft w:val="0"/>
      <w:marRight w:val="0"/>
      <w:marTop w:val="0"/>
      <w:marBottom w:val="0"/>
      <w:divBdr>
        <w:top w:val="none" w:sz="0" w:space="0" w:color="auto"/>
        <w:left w:val="none" w:sz="0" w:space="0" w:color="auto"/>
        <w:bottom w:val="none" w:sz="0" w:space="0" w:color="auto"/>
        <w:right w:val="none" w:sz="0" w:space="0" w:color="auto"/>
      </w:divBdr>
    </w:div>
    <w:div w:id="1433355176">
      <w:bodyDiv w:val="1"/>
      <w:marLeft w:val="0"/>
      <w:marRight w:val="0"/>
      <w:marTop w:val="0"/>
      <w:marBottom w:val="0"/>
      <w:divBdr>
        <w:top w:val="none" w:sz="0" w:space="0" w:color="auto"/>
        <w:left w:val="none" w:sz="0" w:space="0" w:color="auto"/>
        <w:bottom w:val="none" w:sz="0" w:space="0" w:color="auto"/>
        <w:right w:val="none" w:sz="0" w:space="0" w:color="auto"/>
      </w:divBdr>
      <w:divsChild>
        <w:div w:id="58982870">
          <w:marLeft w:val="1411"/>
          <w:marRight w:val="0"/>
          <w:marTop w:val="77"/>
          <w:marBottom w:val="0"/>
          <w:divBdr>
            <w:top w:val="none" w:sz="0" w:space="0" w:color="auto"/>
            <w:left w:val="none" w:sz="0" w:space="0" w:color="auto"/>
            <w:bottom w:val="none" w:sz="0" w:space="0" w:color="auto"/>
            <w:right w:val="none" w:sz="0" w:space="0" w:color="auto"/>
          </w:divBdr>
        </w:div>
        <w:div w:id="188375753">
          <w:marLeft w:val="1973"/>
          <w:marRight w:val="0"/>
          <w:marTop w:val="77"/>
          <w:marBottom w:val="0"/>
          <w:divBdr>
            <w:top w:val="none" w:sz="0" w:space="0" w:color="auto"/>
            <w:left w:val="none" w:sz="0" w:space="0" w:color="auto"/>
            <w:bottom w:val="none" w:sz="0" w:space="0" w:color="auto"/>
            <w:right w:val="none" w:sz="0" w:space="0" w:color="auto"/>
          </w:divBdr>
        </w:div>
      </w:divsChild>
    </w:div>
    <w:div w:id="1473013834">
      <w:bodyDiv w:val="1"/>
      <w:marLeft w:val="0"/>
      <w:marRight w:val="0"/>
      <w:marTop w:val="0"/>
      <w:marBottom w:val="0"/>
      <w:divBdr>
        <w:top w:val="none" w:sz="0" w:space="0" w:color="auto"/>
        <w:left w:val="none" w:sz="0" w:space="0" w:color="auto"/>
        <w:bottom w:val="none" w:sz="0" w:space="0" w:color="auto"/>
        <w:right w:val="none" w:sz="0" w:space="0" w:color="auto"/>
      </w:divBdr>
      <w:divsChild>
        <w:div w:id="1774863687">
          <w:marLeft w:val="0"/>
          <w:marRight w:val="0"/>
          <w:marTop w:val="0"/>
          <w:marBottom w:val="0"/>
          <w:divBdr>
            <w:top w:val="none" w:sz="0" w:space="0" w:color="auto"/>
            <w:left w:val="none" w:sz="0" w:space="0" w:color="auto"/>
            <w:bottom w:val="none" w:sz="0" w:space="0" w:color="auto"/>
            <w:right w:val="none" w:sz="0" w:space="0" w:color="auto"/>
          </w:divBdr>
          <w:divsChild>
            <w:div w:id="466971621">
              <w:marLeft w:val="0"/>
              <w:marRight w:val="0"/>
              <w:marTop w:val="0"/>
              <w:marBottom w:val="0"/>
              <w:divBdr>
                <w:top w:val="none" w:sz="0" w:space="0" w:color="auto"/>
                <w:left w:val="none" w:sz="0" w:space="0" w:color="auto"/>
                <w:bottom w:val="none" w:sz="0" w:space="0" w:color="auto"/>
                <w:right w:val="none" w:sz="0" w:space="0" w:color="auto"/>
              </w:divBdr>
              <w:divsChild>
                <w:div w:id="75169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649422">
      <w:bodyDiv w:val="1"/>
      <w:marLeft w:val="0"/>
      <w:marRight w:val="0"/>
      <w:marTop w:val="0"/>
      <w:marBottom w:val="0"/>
      <w:divBdr>
        <w:top w:val="none" w:sz="0" w:space="0" w:color="auto"/>
        <w:left w:val="none" w:sz="0" w:space="0" w:color="auto"/>
        <w:bottom w:val="none" w:sz="0" w:space="0" w:color="auto"/>
        <w:right w:val="none" w:sz="0" w:space="0" w:color="auto"/>
      </w:divBdr>
    </w:div>
    <w:div w:id="1688942930">
      <w:bodyDiv w:val="1"/>
      <w:marLeft w:val="0"/>
      <w:marRight w:val="0"/>
      <w:marTop w:val="0"/>
      <w:marBottom w:val="0"/>
      <w:divBdr>
        <w:top w:val="none" w:sz="0" w:space="0" w:color="auto"/>
        <w:left w:val="none" w:sz="0" w:space="0" w:color="auto"/>
        <w:bottom w:val="none" w:sz="0" w:space="0" w:color="auto"/>
        <w:right w:val="none" w:sz="0" w:space="0" w:color="auto"/>
      </w:divBdr>
    </w:div>
    <w:div w:id="1693650073">
      <w:bodyDiv w:val="1"/>
      <w:marLeft w:val="0"/>
      <w:marRight w:val="0"/>
      <w:marTop w:val="0"/>
      <w:marBottom w:val="0"/>
      <w:divBdr>
        <w:top w:val="none" w:sz="0" w:space="0" w:color="auto"/>
        <w:left w:val="none" w:sz="0" w:space="0" w:color="auto"/>
        <w:bottom w:val="none" w:sz="0" w:space="0" w:color="auto"/>
        <w:right w:val="none" w:sz="0" w:space="0" w:color="auto"/>
      </w:divBdr>
    </w:div>
    <w:div w:id="1702245041">
      <w:bodyDiv w:val="1"/>
      <w:marLeft w:val="0"/>
      <w:marRight w:val="0"/>
      <w:marTop w:val="0"/>
      <w:marBottom w:val="0"/>
      <w:divBdr>
        <w:top w:val="none" w:sz="0" w:space="0" w:color="auto"/>
        <w:left w:val="none" w:sz="0" w:space="0" w:color="auto"/>
        <w:bottom w:val="none" w:sz="0" w:space="0" w:color="auto"/>
        <w:right w:val="none" w:sz="0" w:space="0" w:color="auto"/>
      </w:divBdr>
      <w:divsChild>
        <w:div w:id="2119179585">
          <w:marLeft w:val="0"/>
          <w:marRight w:val="0"/>
          <w:marTop w:val="0"/>
          <w:marBottom w:val="0"/>
          <w:divBdr>
            <w:top w:val="none" w:sz="0" w:space="0" w:color="auto"/>
            <w:left w:val="none" w:sz="0" w:space="0" w:color="auto"/>
            <w:bottom w:val="none" w:sz="0" w:space="0" w:color="auto"/>
            <w:right w:val="none" w:sz="0" w:space="0" w:color="auto"/>
          </w:divBdr>
          <w:divsChild>
            <w:div w:id="1147892847">
              <w:marLeft w:val="0"/>
              <w:marRight w:val="0"/>
              <w:marTop w:val="0"/>
              <w:marBottom w:val="0"/>
              <w:divBdr>
                <w:top w:val="none" w:sz="0" w:space="0" w:color="auto"/>
                <w:left w:val="none" w:sz="0" w:space="0" w:color="auto"/>
                <w:bottom w:val="none" w:sz="0" w:space="0" w:color="auto"/>
                <w:right w:val="none" w:sz="0" w:space="0" w:color="auto"/>
              </w:divBdr>
              <w:divsChild>
                <w:div w:id="93967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90016">
      <w:bodyDiv w:val="1"/>
      <w:marLeft w:val="0"/>
      <w:marRight w:val="0"/>
      <w:marTop w:val="0"/>
      <w:marBottom w:val="0"/>
      <w:divBdr>
        <w:top w:val="none" w:sz="0" w:space="0" w:color="auto"/>
        <w:left w:val="none" w:sz="0" w:space="0" w:color="auto"/>
        <w:bottom w:val="none" w:sz="0" w:space="0" w:color="auto"/>
        <w:right w:val="none" w:sz="0" w:space="0" w:color="auto"/>
      </w:divBdr>
      <w:divsChild>
        <w:div w:id="1694383661">
          <w:marLeft w:val="274"/>
          <w:marRight w:val="0"/>
          <w:marTop w:val="67"/>
          <w:marBottom w:val="0"/>
          <w:divBdr>
            <w:top w:val="none" w:sz="0" w:space="0" w:color="auto"/>
            <w:left w:val="none" w:sz="0" w:space="0" w:color="auto"/>
            <w:bottom w:val="none" w:sz="0" w:space="0" w:color="auto"/>
            <w:right w:val="none" w:sz="0" w:space="0" w:color="auto"/>
          </w:divBdr>
        </w:div>
      </w:divsChild>
    </w:div>
    <w:div w:id="1863475564">
      <w:bodyDiv w:val="1"/>
      <w:marLeft w:val="0"/>
      <w:marRight w:val="0"/>
      <w:marTop w:val="0"/>
      <w:marBottom w:val="0"/>
      <w:divBdr>
        <w:top w:val="none" w:sz="0" w:space="0" w:color="auto"/>
        <w:left w:val="none" w:sz="0" w:space="0" w:color="auto"/>
        <w:bottom w:val="none" w:sz="0" w:space="0" w:color="auto"/>
        <w:right w:val="none" w:sz="0" w:space="0" w:color="auto"/>
      </w:divBdr>
    </w:div>
    <w:div w:id="1889224905">
      <w:bodyDiv w:val="1"/>
      <w:marLeft w:val="0"/>
      <w:marRight w:val="0"/>
      <w:marTop w:val="0"/>
      <w:marBottom w:val="0"/>
      <w:divBdr>
        <w:top w:val="none" w:sz="0" w:space="0" w:color="auto"/>
        <w:left w:val="none" w:sz="0" w:space="0" w:color="auto"/>
        <w:bottom w:val="none" w:sz="0" w:space="0" w:color="auto"/>
        <w:right w:val="none" w:sz="0" w:space="0" w:color="auto"/>
      </w:divBdr>
    </w:div>
    <w:div w:id="1972203268">
      <w:bodyDiv w:val="1"/>
      <w:marLeft w:val="0"/>
      <w:marRight w:val="0"/>
      <w:marTop w:val="0"/>
      <w:marBottom w:val="0"/>
      <w:divBdr>
        <w:top w:val="none" w:sz="0" w:space="0" w:color="auto"/>
        <w:left w:val="none" w:sz="0" w:space="0" w:color="auto"/>
        <w:bottom w:val="none" w:sz="0" w:space="0" w:color="auto"/>
        <w:right w:val="none" w:sz="0" w:space="0" w:color="auto"/>
      </w:divBdr>
      <w:divsChild>
        <w:div w:id="1709793524">
          <w:marLeft w:val="1411"/>
          <w:marRight w:val="0"/>
          <w:marTop w:val="86"/>
          <w:marBottom w:val="0"/>
          <w:divBdr>
            <w:top w:val="none" w:sz="0" w:space="0" w:color="auto"/>
            <w:left w:val="none" w:sz="0" w:space="0" w:color="auto"/>
            <w:bottom w:val="none" w:sz="0" w:space="0" w:color="auto"/>
            <w:right w:val="none" w:sz="0" w:space="0" w:color="auto"/>
          </w:divBdr>
        </w:div>
        <w:div w:id="1316298157">
          <w:marLeft w:val="1973"/>
          <w:marRight w:val="0"/>
          <w:marTop w:val="77"/>
          <w:marBottom w:val="0"/>
          <w:divBdr>
            <w:top w:val="none" w:sz="0" w:space="0" w:color="auto"/>
            <w:left w:val="none" w:sz="0" w:space="0" w:color="auto"/>
            <w:bottom w:val="none" w:sz="0" w:space="0" w:color="auto"/>
            <w:right w:val="none" w:sz="0" w:space="0" w:color="auto"/>
          </w:divBdr>
        </w:div>
        <w:div w:id="1626353300">
          <w:marLeft w:val="1411"/>
          <w:marRight w:val="0"/>
          <w:marTop w:val="86"/>
          <w:marBottom w:val="0"/>
          <w:divBdr>
            <w:top w:val="none" w:sz="0" w:space="0" w:color="auto"/>
            <w:left w:val="none" w:sz="0" w:space="0" w:color="auto"/>
            <w:bottom w:val="none" w:sz="0" w:space="0" w:color="auto"/>
            <w:right w:val="none" w:sz="0" w:space="0" w:color="auto"/>
          </w:divBdr>
        </w:div>
        <w:div w:id="752123529">
          <w:marLeft w:val="1411"/>
          <w:marRight w:val="0"/>
          <w:marTop w:val="86"/>
          <w:marBottom w:val="0"/>
          <w:divBdr>
            <w:top w:val="none" w:sz="0" w:space="0" w:color="auto"/>
            <w:left w:val="none" w:sz="0" w:space="0" w:color="auto"/>
            <w:bottom w:val="none" w:sz="0" w:space="0" w:color="auto"/>
            <w:right w:val="none" w:sz="0" w:space="0" w:color="auto"/>
          </w:divBdr>
        </w:div>
        <w:div w:id="66193882">
          <w:marLeft w:val="1411"/>
          <w:marRight w:val="0"/>
          <w:marTop w:val="86"/>
          <w:marBottom w:val="0"/>
          <w:divBdr>
            <w:top w:val="none" w:sz="0" w:space="0" w:color="auto"/>
            <w:left w:val="none" w:sz="0" w:space="0" w:color="auto"/>
            <w:bottom w:val="none" w:sz="0" w:space="0" w:color="auto"/>
            <w:right w:val="none" w:sz="0" w:space="0" w:color="auto"/>
          </w:divBdr>
        </w:div>
      </w:divsChild>
    </w:div>
    <w:div w:id="2014066005">
      <w:bodyDiv w:val="1"/>
      <w:marLeft w:val="0"/>
      <w:marRight w:val="0"/>
      <w:marTop w:val="0"/>
      <w:marBottom w:val="0"/>
      <w:divBdr>
        <w:top w:val="none" w:sz="0" w:space="0" w:color="auto"/>
        <w:left w:val="none" w:sz="0" w:space="0" w:color="auto"/>
        <w:bottom w:val="none" w:sz="0" w:space="0" w:color="auto"/>
        <w:right w:val="none" w:sz="0" w:space="0" w:color="auto"/>
      </w:divBdr>
    </w:div>
    <w:div w:id="2016762225">
      <w:bodyDiv w:val="1"/>
      <w:marLeft w:val="0"/>
      <w:marRight w:val="0"/>
      <w:marTop w:val="0"/>
      <w:marBottom w:val="0"/>
      <w:divBdr>
        <w:top w:val="none" w:sz="0" w:space="0" w:color="auto"/>
        <w:left w:val="none" w:sz="0" w:space="0" w:color="auto"/>
        <w:bottom w:val="none" w:sz="0" w:space="0" w:color="auto"/>
        <w:right w:val="none" w:sz="0" w:space="0" w:color="auto"/>
      </w:divBdr>
    </w:div>
    <w:div w:id="2027317600">
      <w:bodyDiv w:val="1"/>
      <w:marLeft w:val="0"/>
      <w:marRight w:val="0"/>
      <w:marTop w:val="0"/>
      <w:marBottom w:val="0"/>
      <w:divBdr>
        <w:top w:val="none" w:sz="0" w:space="0" w:color="auto"/>
        <w:left w:val="none" w:sz="0" w:space="0" w:color="auto"/>
        <w:bottom w:val="none" w:sz="0" w:space="0" w:color="auto"/>
        <w:right w:val="none" w:sz="0" w:space="0" w:color="auto"/>
      </w:divBdr>
      <w:divsChild>
        <w:div w:id="1012950968">
          <w:marLeft w:val="1411"/>
          <w:marRight w:val="0"/>
          <w:marTop w:val="77"/>
          <w:marBottom w:val="0"/>
          <w:divBdr>
            <w:top w:val="none" w:sz="0" w:space="0" w:color="auto"/>
            <w:left w:val="none" w:sz="0" w:space="0" w:color="auto"/>
            <w:bottom w:val="none" w:sz="0" w:space="0" w:color="auto"/>
            <w:right w:val="none" w:sz="0" w:space="0" w:color="auto"/>
          </w:divBdr>
        </w:div>
        <w:div w:id="1239053880">
          <w:marLeft w:val="1973"/>
          <w:marRight w:val="0"/>
          <w:marTop w:val="77"/>
          <w:marBottom w:val="0"/>
          <w:divBdr>
            <w:top w:val="none" w:sz="0" w:space="0" w:color="auto"/>
            <w:left w:val="none" w:sz="0" w:space="0" w:color="auto"/>
            <w:bottom w:val="none" w:sz="0" w:space="0" w:color="auto"/>
            <w:right w:val="none" w:sz="0" w:space="0" w:color="auto"/>
          </w:divBdr>
        </w:div>
      </w:divsChild>
    </w:div>
    <w:div w:id="2031561323">
      <w:bodyDiv w:val="1"/>
      <w:marLeft w:val="0"/>
      <w:marRight w:val="0"/>
      <w:marTop w:val="0"/>
      <w:marBottom w:val="0"/>
      <w:divBdr>
        <w:top w:val="none" w:sz="0" w:space="0" w:color="auto"/>
        <w:left w:val="none" w:sz="0" w:space="0" w:color="auto"/>
        <w:bottom w:val="none" w:sz="0" w:space="0" w:color="auto"/>
        <w:right w:val="none" w:sz="0" w:space="0" w:color="auto"/>
      </w:divBdr>
      <w:divsChild>
        <w:div w:id="557282513">
          <w:marLeft w:val="835"/>
          <w:marRight w:val="0"/>
          <w:marTop w:val="77"/>
          <w:marBottom w:val="0"/>
          <w:divBdr>
            <w:top w:val="none" w:sz="0" w:space="0" w:color="auto"/>
            <w:left w:val="none" w:sz="0" w:space="0" w:color="auto"/>
            <w:bottom w:val="none" w:sz="0" w:space="0" w:color="auto"/>
            <w:right w:val="none" w:sz="0" w:space="0" w:color="auto"/>
          </w:divBdr>
        </w:div>
        <w:div w:id="611088756">
          <w:marLeft w:val="835"/>
          <w:marRight w:val="0"/>
          <w:marTop w:val="77"/>
          <w:marBottom w:val="0"/>
          <w:divBdr>
            <w:top w:val="none" w:sz="0" w:space="0" w:color="auto"/>
            <w:left w:val="none" w:sz="0" w:space="0" w:color="auto"/>
            <w:bottom w:val="none" w:sz="0" w:space="0" w:color="auto"/>
            <w:right w:val="none" w:sz="0" w:space="0" w:color="auto"/>
          </w:divBdr>
        </w:div>
        <w:div w:id="1830364667">
          <w:marLeft w:val="1973"/>
          <w:marRight w:val="0"/>
          <w:marTop w:val="77"/>
          <w:marBottom w:val="0"/>
          <w:divBdr>
            <w:top w:val="none" w:sz="0" w:space="0" w:color="auto"/>
            <w:left w:val="none" w:sz="0" w:space="0" w:color="auto"/>
            <w:bottom w:val="none" w:sz="0" w:space="0" w:color="auto"/>
            <w:right w:val="none" w:sz="0" w:space="0" w:color="auto"/>
          </w:divBdr>
        </w:div>
        <w:div w:id="542865000">
          <w:marLeft w:val="1973"/>
          <w:marRight w:val="0"/>
          <w:marTop w:val="77"/>
          <w:marBottom w:val="0"/>
          <w:divBdr>
            <w:top w:val="none" w:sz="0" w:space="0" w:color="auto"/>
            <w:left w:val="none" w:sz="0" w:space="0" w:color="auto"/>
            <w:bottom w:val="none" w:sz="0" w:space="0" w:color="auto"/>
            <w:right w:val="none" w:sz="0" w:space="0" w:color="auto"/>
          </w:divBdr>
        </w:div>
        <w:div w:id="109591612">
          <w:marLeft w:val="835"/>
          <w:marRight w:val="0"/>
          <w:marTop w:val="77"/>
          <w:marBottom w:val="0"/>
          <w:divBdr>
            <w:top w:val="none" w:sz="0" w:space="0" w:color="auto"/>
            <w:left w:val="none" w:sz="0" w:space="0" w:color="auto"/>
            <w:bottom w:val="none" w:sz="0" w:space="0" w:color="auto"/>
            <w:right w:val="none" w:sz="0" w:space="0" w:color="auto"/>
          </w:divBdr>
        </w:div>
        <w:div w:id="840853305">
          <w:marLeft w:val="1973"/>
          <w:marRight w:val="0"/>
          <w:marTop w:val="77"/>
          <w:marBottom w:val="0"/>
          <w:divBdr>
            <w:top w:val="none" w:sz="0" w:space="0" w:color="auto"/>
            <w:left w:val="none" w:sz="0" w:space="0" w:color="auto"/>
            <w:bottom w:val="none" w:sz="0" w:space="0" w:color="auto"/>
            <w:right w:val="none" w:sz="0" w:space="0" w:color="auto"/>
          </w:divBdr>
        </w:div>
        <w:div w:id="409546882">
          <w:marLeft w:val="835"/>
          <w:marRight w:val="0"/>
          <w:marTop w:val="77"/>
          <w:marBottom w:val="0"/>
          <w:divBdr>
            <w:top w:val="none" w:sz="0" w:space="0" w:color="auto"/>
            <w:left w:val="none" w:sz="0" w:space="0" w:color="auto"/>
            <w:bottom w:val="none" w:sz="0" w:space="0" w:color="auto"/>
            <w:right w:val="none" w:sz="0" w:space="0" w:color="auto"/>
          </w:divBdr>
        </w:div>
      </w:divsChild>
    </w:div>
    <w:div w:id="203380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5529A-C670-42FE-A527-8DA9AA2F2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4751</TotalTime>
  <Pages>9</Pages>
  <Words>3318</Words>
  <Characters>18916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22190</CharactersWithSpaces>
  <SharedDoc>false</SharedDoc>
  <HLinks>
    <vt:vector size="12" baseType="variant">
      <vt:variant>
        <vt:i4>5898350</vt:i4>
      </vt:variant>
      <vt:variant>
        <vt:i4>69</vt:i4>
      </vt:variant>
      <vt:variant>
        <vt:i4>0</vt:i4>
      </vt:variant>
      <vt:variant>
        <vt:i4>5</vt:i4>
      </vt:variant>
      <vt:variant>
        <vt:lpwstr>http://www.3gpp.org/ftp/tsg_ran/WG1_RL1/TSGR1_81/Docs/R1-152511.zip</vt:lpwstr>
      </vt:variant>
      <vt:variant>
        <vt:lpwstr/>
      </vt:variant>
      <vt:variant>
        <vt:i4>2228229</vt:i4>
      </vt:variant>
      <vt:variant>
        <vt:i4>66</vt:i4>
      </vt:variant>
      <vt:variant>
        <vt:i4>0</vt:i4>
      </vt:variant>
      <vt:variant>
        <vt:i4>5</vt:i4>
      </vt:variant>
      <vt:variant>
        <vt:lpwstr>http://www.3gpp.org/ftp/tsg_ran/TSG_RAN/TSGR_67/Docs/RP-150492.zip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Emre A. Yavuz</cp:lastModifiedBy>
  <cp:revision>161</cp:revision>
  <cp:lastPrinted>2015-09-25T11:55:00Z</cp:lastPrinted>
  <dcterms:created xsi:type="dcterms:W3CDTF">2015-10-20T15:13:00Z</dcterms:created>
  <dcterms:modified xsi:type="dcterms:W3CDTF">2015-11-07T03:26:00Z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